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2"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4">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1CDB9483" w:rsidR="00F972F1" w:rsidRDefault="00F972F1" w:rsidP="005A440D">
      <w:pPr>
        <w:ind w:right="-143"/>
        <w:jc w:val="both"/>
      </w:pPr>
    </w:p>
    <w:p w14:paraId="2EDD1D43" w14:textId="605E223C" w:rsidR="0047645D" w:rsidRDefault="0047645D" w:rsidP="005A440D">
      <w:pPr>
        <w:ind w:right="-143"/>
        <w:jc w:val="both"/>
      </w:pPr>
    </w:p>
    <w:p w14:paraId="16543BE7" w14:textId="4E2A2653" w:rsidR="0047645D" w:rsidRDefault="0047645D" w:rsidP="005A440D">
      <w:pPr>
        <w:ind w:right="-143"/>
        <w:jc w:val="both"/>
      </w:pPr>
    </w:p>
    <w:p w14:paraId="420D173E" w14:textId="0DCDC604" w:rsidR="0047645D" w:rsidRDefault="0047645D" w:rsidP="005A440D">
      <w:pPr>
        <w:ind w:right="-143"/>
        <w:jc w:val="both"/>
      </w:pPr>
    </w:p>
    <w:p w14:paraId="61F7A125" w14:textId="69FC45DD"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58D110DF">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0AF15FA0"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5"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6A61AA62" w14:textId="6169628D"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3FD272C7" w14:textId="69A18E65"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F43CE">
                                    <w:rPr>
                                      <w:noProof/>
                                      <w:webHidden/>
                                    </w:rPr>
                                    <w:t>1</w:t>
                                  </w:r>
                                  <w:r w:rsidR="00EE586D">
                                    <w:rPr>
                                      <w:noProof/>
                                      <w:webHidden/>
                                    </w:rPr>
                                    <w:fldChar w:fldCharType="end"/>
                                  </w:r>
                                </w:hyperlink>
                              </w:p>
                              <w:p w14:paraId="078A1BD5" w14:textId="46E314B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585A5E32" w14:textId="4129D743"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1DDC7743" w14:textId="4D89A82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2DD809AD" w14:textId="6A7B706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53F7FE80" w14:textId="579F2F41"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6BEB475E" w14:textId="32F84CF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3C1DDD4E" w14:textId="4F9E2FF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60BFD26D" w14:textId="1B4D88D5"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39F87850" w14:textId="42A57FA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0C2C714D" w14:textId="32B7D1F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20036174" w14:textId="6F9078A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3CBE67BF" w14:textId="63BDDBC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6F9EE499" w14:textId="4654EA9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3DB4B619" w14:textId="4DF30B4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58BAA1F1" w14:textId="1D2128D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0AE3719F" w14:textId="69C7013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528A96C9" w14:textId="5EECDB39"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F43CE">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0AF15FA0"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6"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6A61AA62" w14:textId="6169628D"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3FD272C7" w14:textId="69A18E65"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F43CE">
                              <w:rPr>
                                <w:noProof/>
                                <w:webHidden/>
                              </w:rPr>
                              <w:t>1</w:t>
                            </w:r>
                            <w:r w:rsidR="00EE586D">
                              <w:rPr>
                                <w:noProof/>
                                <w:webHidden/>
                              </w:rPr>
                              <w:fldChar w:fldCharType="end"/>
                            </w:r>
                          </w:hyperlink>
                        </w:p>
                        <w:p w14:paraId="078A1BD5" w14:textId="46E314B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585A5E32" w14:textId="4129D743"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1DDC7743" w14:textId="4D89A82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2DD809AD" w14:textId="6A7B706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53F7FE80" w14:textId="579F2F41"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6BEB475E" w14:textId="32F84CF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3C1DDD4E" w14:textId="4F9E2FF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60BFD26D" w14:textId="1B4D88D5"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39F87850" w14:textId="42A57FA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0C2C714D" w14:textId="32B7D1F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20036174" w14:textId="6F9078A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3CBE67BF" w14:textId="63BDDBC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6F9EE499" w14:textId="4654EA9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3DB4B619" w14:textId="4DF30B4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58BAA1F1" w14:textId="1D2128D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0AE3719F" w14:textId="69C7013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528A96C9" w14:textId="5EECDB39"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F43CE">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v:textbox>
              </v:shape>
            </w:pict>
          </mc:Fallback>
        </mc:AlternateContent>
      </w:r>
      <w:bookmarkEnd w:id="12"/>
      <w:bookmarkEnd w:id="13"/>
      <w:bookmarkEnd w:id="14"/>
      <w:bookmarkEnd w:id="15"/>
      <w:bookmarkEnd w:id="16"/>
      <w:bookmarkEnd w:id="17"/>
      <w:bookmarkEnd w:id="18"/>
      <w:bookmarkEnd w:id="19"/>
      <w:bookmarkEnd w:id="20"/>
      <w:bookmarkEnd w:id="24"/>
      <w:bookmarkEnd w:id="25"/>
      <w:bookmarkEnd w:id="26"/>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Pr="00B35F35" w:rsidRDefault="0024087B" w:rsidP="007A687C">
      <w:pPr>
        <w:pStyle w:val="Titre3"/>
        <w:tabs>
          <w:tab w:val="left" w:pos="284"/>
        </w:tabs>
        <w:spacing w:after="0" w:line="240" w:lineRule="auto"/>
        <w:ind w:left="284" w:right="-142" w:firstLine="0"/>
        <w:jc w:val="both"/>
        <w:rPr>
          <w:sz w:val="28"/>
          <w:szCs w:val="28"/>
        </w:rPr>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B35F35">
        <w:rPr>
          <w:sz w:val="28"/>
          <w:szCs w:val="28"/>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7A687C">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761D4EBF"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5D62E601" w14:textId="77777777" w:rsidR="00D01E33" w:rsidRPr="00A86F66" w:rsidRDefault="00D01E33" w:rsidP="005A440D">
      <w:pPr>
        <w:pStyle w:val="textecourant"/>
        <w:tabs>
          <w:tab w:val="left" w:pos="284"/>
        </w:tabs>
        <w:spacing w:line="240" w:lineRule="auto"/>
        <w:ind w:left="284" w:right="-143"/>
        <w:jc w:val="both"/>
        <w:rPr>
          <w:sz w:val="10"/>
          <w:szCs w:val="10"/>
        </w:rPr>
      </w:pPr>
      <w:bookmarkStart w:id="39" w:name="_Toc499629909"/>
      <w:bookmarkStart w:id="40" w:name="_Toc499630254"/>
      <w:bookmarkStart w:id="41" w:name="_Toc499630485"/>
      <w:bookmarkStart w:id="42" w:name="_Toc499630582"/>
    </w:p>
    <w:p w14:paraId="361E8E81"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rsidRPr="00B35F35">
        <w:rPr>
          <w:sz w:val="28"/>
          <w:szCs w:val="28"/>
        </w:rPr>
        <w:t>Article 2 : Commande</w:t>
      </w:r>
      <w:bookmarkEnd w:id="43"/>
      <w:bookmarkEnd w:id="44"/>
      <w:bookmarkEnd w:id="45"/>
      <w:bookmarkEnd w:id="46"/>
      <w:bookmarkEnd w:id="47"/>
      <w:bookmarkEnd w:id="48"/>
      <w:bookmarkEnd w:id="49"/>
    </w:p>
    <w:p w14:paraId="4D4DB20B" w14:textId="4839CC1F" w:rsidR="00E36187" w:rsidRPr="00E36187" w:rsidRDefault="00E36187" w:rsidP="007A687C">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F9FEFB6" w14:textId="77777777" w:rsidR="00E36187" w:rsidRDefault="00533FC4" w:rsidP="00E36187">
      <w:pPr>
        <w:tabs>
          <w:tab w:val="left" w:pos="284"/>
        </w:tabs>
        <w:spacing w:line="240" w:lineRule="auto"/>
        <w:ind w:left="284" w:right="-143"/>
        <w:jc w:val="both"/>
        <w:rPr>
          <w:color w:val="auto"/>
        </w:rPr>
      </w:pPr>
      <w:r>
        <w:rPr>
          <w:color w:val="auto"/>
        </w:rPr>
        <w:t xml:space="preserve">- </w:t>
      </w:r>
      <w:r w:rsidR="00E36187" w:rsidRPr="00E36187">
        <w:rPr>
          <w:color w:val="auto"/>
        </w:rPr>
        <w:t>Les plans ou spécifications techniques associés à la proposition de prix».</w:t>
      </w:r>
    </w:p>
    <w:p w14:paraId="36D76D81" w14:textId="77777777" w:rsidR="00D01E33" w:rsidRPr="00A86F66" w:rsidRDefault="00D01E33" w:rsidP="007A687C">
      <w:pPr>
        <w:tabs>
          <w:tab w:val="left" w:pos="284"/>
        </w:tabs>
        <w:spacing w:line="240" w:lineRule="auto"/>
        <w:ind w:right="-143"/>
        <w:jc w:val="both"/>
        <w:rPr>
          <w:color w:val="auto"/>
          <w:sz w:val="10"/>
          <w:szCs w:val="10"/>
        </w:rPr>
      </w:pPr>
    </w:p>
    <w:p w14:paraId="0190BBDE"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B35F35">
        <w:rPr>
          <w:sz w:val="28"/>
          <w:szCs w:val="28"/>
        </w:rPr>
        <w:lastRenderedPageBreak/>
        <w:t>Article 3 : Prix, facturation, paiement</w:t>
      </w:r>
      <w:bookmarkEnd w:id="50"/>
      <w:bookmarkEnd w:id="51"/>
      <w:bookmarkEnd w:id="52"/>
      <w:bookmarkEnd w:id="53"/>
      <w:bookmarkEnd w:id="54"/>
      <w:bookmarkEnd w:id="55"/>
      <w:bookmarkEnd w:id="56"/>
    </w:p>
    <w:p w14:paraId="2883EA7F" w14:textId="77777777" w:rsidR="00595FC4" w:rsidRDefault="00BF3421" w:rsidP="007A687C">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5A440D">
      <w:pPr>
        <w:tabs>
          <w:tab w:val="left" w:pos="284"/>
        </w:tabs>
        <w:spacing w:line="240" w:lineRule="auto"/>
        <w:ind w:left="284" w:right="-143"/>
        <w:jc w:val="both"/>
        <w:rPr>
          <w:color w:val="auto"/>
          <w:sz w:val="10"/>
          <w:szCs w:val="10"/>
        </w:rPr>
      </w:pPr>
    </w:p>
    <w:p w14:paraId="7A484D94" w14:textId="48D27A99" w:rsidR="00D01E33" w:rsidRDefault="00D01E33" w:rsidP="005A440D">
      <w:pPr>
        <w:tabs>
          <w:tab w:val="left" w:pos="284"/>
        </w:tabs>
        <w:spacing w:line="240" w:lineRule="auto"/>
        <w:ind w:left="284" w:right="-143"/>
        <w:jc w:val="both"/>
        <w:rPr>
          <w:color w:val="auto"/>
        </w:rPr>
      </w:pPr>
      <w:r w:rsidRPr="00533FC4">
        <w:rPr>
          <w:color w:val="auto"/>
        </w:rPr>
        <w:t xml:space="preserve">A défaut de toute autre disposition négociée et acceptée, les conditions de paiement sont 100 % par traite ou virement bancaire à 30 jours </w:t>
      </w:r>
      <w:r w:rsidR="007A687C">
        <w:rPr>
          <w:color w:val="auto"/>
        </w:rPr>
        <w:t xml:space="preserve">à la </w:t>
      </w:r>
      <w:r w:rsidRPr="00533FC4">
        <w:rPr>
          <w:color w:val="auto"/>
        </w:rPr>
        <w:t>fin de mois à compter de la réception de facture, conditionné à la livraison effective du fruit du marché.</w:t>
      </w:r>
      <w:r w:rsidRPr="00D01E33">
        <w:rPr>
          <w:color w:val="auto"/>
        </w:rPr>
        <w:t xml:space="preserve">  </w:t>
      </w:r>
    </w:p>
    <w:p w14:paraId="42D51476" w14:textId="77777777" w:rsidR="00FB7E2C" w:rsidRPr="007A687C" w:rsidRDefault="00FB7E2C" w:rsidP="005A440D">
      <w:pPr>
        <w:tabs>
          <w:tab w:val="left" w:pos="284"/>
        </w:tabs>
        <w:spacing w:line="240" w:lineRule="auto"/>
        <w:ind w:left="284" w:right="-143"/>
        <w:jc w:val="both"/>
        <w:rPr>
          <w:color w:val="auto"/>
          <w:sz w:val="16"/>
          <w:szCs w:val="16"/>
        </w:rPr>
      </w:pPr>
    </w:p>
    <w:p w14:paraId="037EC9B7"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B35F35">
        <w:rPr>
          <w:sz w:val="28"/>
          <w:szCs w:val="28"/>
        </w:rPr>
        <w:t>Article 4 : Emballage</w:t>
      </w:r>
      <w:bookmarkEnd w:id="57"/>
      <w:bookmarkEnd w:id="58"/>
      <w:bookmarkEnd w:id="59"/>
      <w:bookmarkEnd w:id="60"/>
      <w:bookmarkEnd w:id="61"/>
      <w:bookmarkEnd w:id="62"/>
      <w:bookmarkEnd w:id="63"/>
    </w:p>
    <w:p w14:paraId="320D129A" w14:textId="77777777" w:rsidR="005E2F6A" w:rsidRPr="005E2F6A" w:rsidRDefault="005E2F6A" w:rsidP="007A687C">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7A687C" w:rsidRDefault="00EE586D" w:rsidP="0019435E">
      <w:pPr>
        <w:tabs>
          <w:tab w:val="left" w:pos="284"/>
        </w:tabs>
        <w:spacing w:line="240" w:lineRule="auto"/>
        <w:ind w:left="284" w:right="-143"/>
        <w:jc w:val="both"/>
        <w:rPr>
          <w:color w:val="auto"/>
          <w:sz w:val="16"/>
          <w:szCs w:val="16"/>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70" w:name="_Toc41398630"/>
      <w:r w:rsidRPr="00B35F35">
        <w:rPr>
          <w:sz w:val="28"/>
          <w:szCs w:val="28"/>
        </w:rPr>
        <w:t>Article 5 : Livraison</w:t>
      </w:r>
      <w:bookmarkEnd w:id="64"/>
      <w:bookmarkEnd w:id="65"/>
      <w:bookmarkEnd w:id="66"/>
      <w:bookmarkEnd w:id="67"/>
      <w:bookmarkEnd w:id="68"/>
      <w:bookmarkEnd w:id="69"/>
      <w:bookmarkEnd w:id="70"/>
    </w:p>
    <w:p w14:paraId="618FCE54" w14:textId="77777777" w:rsidR="00533D83" w:rsidRPr="009E7C7D" w:rsidRDefault="00533D83" w:rsidP="007A687C">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34EAB535" w14:textId="5E68A98F" w:rsidR="00D01E33" w:rsidRDefault="00533D83" w:rsidP="007A687C">
      <w:pPr>
        <w:pStyle w:val="Titre3"/>
        <w:tabs>
          <w:tab w:val="left" w:pos="284"/>
        </w:tabs>
        <w:spacing w:after="0" w:line="240" w:lineRule="auto"/>
        <w:ind w:left="284" w:right="-143"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0CEBE716" w14:textId="77777777" w:rsidR="007A687C" w:rsidRPr="007A687C" w:rsidRDefault="007A687C" w:rsidP="007A687C">
      <w:pPr>
        <w:spacing w:line="240" w:lineRule="auto"/>
        <w:rPr>
          <w:sz w:val="16"/>
          <w:szCs w:val="16"/>
        </w:rPr>
      </w:pPr>
    </w:p>
    <w:p w14:paraId="2B3692D7" w14:textId="77777777" w:rsidR="00D01E33" w:rsidRPr="00B35F35" w:rsidRDefault="00D01E33" w:rsidP="007A687C">
      <w:pPr>
        <w:pStyle w:val="Titre3"/>
        <w:tabs>
          <w:tab w:val="left" w:pos="284"/>
        </w:tabs>
        <w:spacing w:after="0" w:line="240" w:lineRule="auto"/>
        <w:ind w:left="284" w:right="-143" w:firstLine="0"/>
        <w:jc w:val="both"/>
        <w:rPr>
          <w:sz w:val="28"/>
          <w:szCs w:val="28"/>
        </w:rPr>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B35F35">
        <w:rPr>
          <w:sz w:val="28"/>
          <w:szCs w:val="28"/>
        </w:rPr>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7A687C">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7A687C" w:rsidRDefault="00533D83" w:rsidP="00533D83">
      <w:pPr>
        <w:rPr>
          <w:sz w:val="16"/>
          <w:szCs w:val="16"/>
        </w:rPr>
      </w:pPr>
    </w:p>
    <w:p w14:paraId="7DC60D7F"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B35F35">
        <w:rPr>
          <w:sz w:val="28"/>
          <w:szCs w:val="28"/>
        </w:rPr>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7A687C">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45D05">
      <w:pPr>
        <w:tabs>
          <w:tab w:val="left" w:pos="284"/>
        </w:tabs>
        <w:spacing w:line="240" w:lineRule="auto"/>
        <w:ind w:left="284" w:right="-143"/>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45D05">
      <w:pPr>
        <w:tabs>
          <w:tab w:val="left" w:pos="284"/>
        </w:tabs>
        <w:spacing w:line="240" w:lineRule="auto"/>
        <w:ind w:left="284" w:right="-143"/>
        <w:jc w:val="both"/>
        <w:rPr>
          <w:color w:val="auto"/>
        </w:rPr>
      </w:pPr>
      <w:r w:rsidRPr="00445D05">
        <w:rPr>
          <w:color w:val="auto"/>
        </w:rPr>
        <w:lastRenderedPageBreak/>
        <w:t>Ces dernières sont fixées à 0,5% du montant total du prix de la commande par jour calendaire de retard, dans la limite maximum de 7% dudit montant.</w:t>
      </w:r>
    </w:p>
    <w:p w14:paraId="0408E9AD"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7A687C" w:rsidRDefault="00445D05" w:rsidP="00445D05">
      <w:pPr>
        <w:tabs>
          <w:tab w:val="left" w:pos="284"/>
        </w:tabs>
        <w:spacing w:line="240" w:lineRule="auto"/>
        <w:ind w:left="284" w:right="-143"/>
        <w:jc w:val="both"/>
        <w:rPr>
          <w:color w:val="auto"/>
          <w:sz w:val="16"/>
          <w:szCs w:val="16"/>
        </w:rPr>
      </w:pPr>
    </w:p>
    <w:p w14:paraId="09CB4912"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B35F35">
        <w:rPr>
          <w:sz w:val="28"/>
          <w:szCs w:val="28"/>
        </w:rPr>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7A687C">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7A687C" w:rsidRDefault="007127FB" w:rsidP="007127FB">
      <w:pPr>
        <w:tabs>
          <w:tab w:val="left" w:pos="284"/>
        </w:tabs>
        <w:spacing w:line="240" w:lineRule="auto"/>
        <w:ind w:left="284" w:right="-143"/>
        <w:jc w:val="both"/>
        <w:rPr>
          <w:color w:val="auto"/>
          <w:sz w:val="16"/>
          <w:szCs w:val="16"/>
        </w:rPr>
      </w:pPr>
    </w:p>
    <w:p w14:paraId="3D12E3A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B35F35">
        <w:rPr>
          <w:sz w:val="28"/>
          <w:szCs w:val="28"/>
        </w:rPr>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7A687C">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7127FB">
      <w:pPr>
        <w:tabs>
          <w:tab w:val="left" w:pos="284"/>
        </w:tabs>
        <w:spacing w:line="240" w:lineRule="auto"/>
        <w:ind w:left="284" w:right="-143"/>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7A687C" w:rsidRDefault="007127FB" w:rsidP="007127FB">
      <w:pPr>
        <w:tabs>
          <w:tab w:val="left" w:pos="284"/>
        </w:tabs>
        <w:spacing w:line="240" w:lineRule="auto"/>
        <w:ind w:left="284" w:right="-143"/>
        <w:jc w:val="both"/>
        <w:rPr>
          <w:color w:val="auto"/>
          <w:sz w:val="16"/>
          <w:szCs w:val="16"/>
        </w:rPr>
      </w:pPr>
    </w:p>
    <w:p w14:paraId="3E9620D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B35F35">
        <w:rPr>
          <w:sz w:val="28"/>
          <w:szCs w:val="28"/>
        </w:rPr>
        <w:t>Article 10 : Excédents</w:t>
      </w:r>
      <w:bookmarkEnd w:id="103"/>
      <w:bookmarkEnd w:id="104"/>
      <w:bookmarkEnd w:id="105"/>
      <w:bookmarkEnd w:id="106"/>
      <w:bookmarkEnd w:id="107"/>
      <w:bookmarkEnd w:id="108"/>
      <w:bookmarkEnd w:id="109"/>
    </w:p>
    <w:p w14:paraId="2077DA96" w14:textId="77777777" w:rsidR="002A30FB" w:rsidRPr="002A30FB" w:rsidRDefault="002A30FB" w:rsidP="007A687C">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2A30FB">
      <w:pPr>
        <w:tabs>
          <w:tab w:val="left" w:pos="284"/>
        </w:tabs>
        <w:spacing w:line="240" w:lineRule="auto"/>
        <w:ind w:left="284" w:right="-143"/>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B35F35">
        <w:rPr>
          <w:sz w:val="28"/>
          <w:szCs w:val="28"/>
        </w:rPr>
        <w:t>Article 11 : Garanties</w:t>
      </w:r>
      <w:bookmarkEnd w:id="110"/>
      <w:bookmarkEnd w:id="111"/>
      <w:bookmarkEnd w:id="112"/>
      <w:bookmarkEnd w:id="113"/>
      <w:bookmarkEnd w:id="114"/>
      <w:bookmarkEnd w:id="115"/>
      <w:bookmarkEnd w:id="116"/>
      <w:r w:rsidRPr="00B35F35">
        <w:rPr>
          <w:sz w:val="28"/>
          <w:szCs w:val="28"/>
        </w:rPr>
        <w:t xml:space="preserve"> </w:t>
      </w:r>
    </w:p>
    <w:p w14:paraId="1FDD1CA5" w14:textId="77777777" w:rsidR="004E23CD" w:rsidRPr="004E23CD" w:rsidRDefault="004E23CD" w:rsidP="007A687C">
      <w:pPr>
        <w:tabs>
          <w:tab w:val="left" w:pos="284"/>
        </w:tabs>
        <w:spacing w:line="240" w:lineRule="auto"/>
        <w:ind w:left="284" w:right="-142"/>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E23CD">
      <w:pPr>
        <w:tabs>
          <w:tab w:val="left" w:pos="284"/>
        </w:tabs>
        <w:spacing w:line="240" w:lineRule="auto"/>
        <w:ind w:left="284" w:right="-143"/>
        <w:jc w:val="both"/>
        <w:rPr>
          <w:color w:val="auto"/>
        </w:rPr>
      </w:pPr>
      <w:r w:rsidRPr="004E23CD">
        <w:rPr>
          <w:color w:val="auto"/>
        </w:rPr>
        <w:lastRenderedPageBreak/>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7A687C">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7A687C" w:rsidRDefault="004E23CD" w:rsidP="007A687C">
      <w:pPr>
        <w:pStyle w:val="Titre3"/>
        <w:tabs>
          <w:tab w:val="left" w:pos="284"/>
        </w:tabs>
        <w:spacing w:after="0" w:line="240" w:lineRule="auto"/>
        <w:ind w:left="284" w:right="-142" w:firstLine="0"/>
        <w:jc w:val="both"/>
        <w:rPr>
          <w:sz w:val="16"/>
          <w:szCs w:val="16"/>
        </w:rPr>
      </w:pPr>
    </w:p>
    <w:p w14:paraId="3BD6492D" w14:textId="77777777" w:rsidR="0035794E" w:rsidRPr="00B35F35" w:rsidRDefault="0035794E" w:rsidP="007A687C">
      <w:pPr>
        <w:pStyle w:val="Titre3"/>
        <w:tabs>
          <w:tab w:val="left" w:pos="284"/>
        </w:tabs>
        <w:spacing w:after="0" w:line="240" w:lineRule="auto"/>
        <w:ind w:left="284" w:right="-142" w:firstLine="0"/>
        <w:jc w:val="both"/>
        <w:rPr>
          <w:sz w:val="28"/>
          <w:szCs w:val="28"/>
        </w:rPr>
      </w:pPr>
      <w:bookmarkStart w:id="122" w:name="_Toc41398607"/>
      <w:bookmarkStart w:id="123" w:name="_Toc41398639"/>
      <w:r w:rsidRPr="00B35F35">
        <w:rPr>
          <w:sz w:val="28"/>
          <w:szCs w:val="28"/>
        </w:rPr>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7A687C">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66D45BC7" w14:textId="4FDC92DD" w:rsidR="00C5127A" w:rsidRDefault="00C5127A" w:rsidP="007A687C">
      <w:pPr>
        <w:tabs>
          <w:tab w:val="left" w:pos="284"/>
        </w:tabs>
        <w:spacing w:line="240" w:lineRule="auto"/>
        <w:ind w:left="284" w:right="-143"/>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10304B9F" w14:textId="77777777" w:rsidR="00B35F35" w:rsidRPr="00B35F35" w:rsidRDefault="00B35F35" w:rsidP="007A687C">
      <w:pPr>
        <w:tabs>
          <w:tab w:val="left" w:pos="284"/>
        </w:tabs>
        <w:spacing w:line="240" w:lineRule="auto"/>
        <w:ind w:left="284" w:right="-143"/>
        <w:jc w:val="both"/>
        <w:rPr>
          <w:color w:val="auto"/>
          <w:sz w:val="16"/>
          <w:szCs w:val="16"/>
        </w:rPr>
      </w:pPr>
    </w:p>
    <w:p w14:paraId="7BD1DA86"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rsidRPr="00B35F35">
        <w:rPr>
          <w:sz w:val="28"/>
          <w:szCs w:val="28"/>
        </w:rP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7A687C">
      <w:pPr>
        <w:tabs>
          <w:tab w:val="left" w:pos="284"/>
        </w:tabs>
        <w:spacing w:line="240" w:lineRule="auto"/>
        <w:ind w:left="284" w:right="-142"/>
        <w:jc w:val="both"/>
        <w:rPr>
          <w:color w:val="auto"/>
        </w:rPr>
      </w:pPr>
      <w:r w:rsidRPr="000E4498">
        <w:rPr>
          <w:color w:val="auto"/>
        </w:rPr>
        <w:t xml:space="preserve">Le Fournisseur sera exclusivement considéré comme civilement responsable à l'égard de HI, et des tiers, de tout dommage aux biens ou aux personnes, qu’il s’agisse d’un dommage matériel, corporel ou moral, résultant de </w:t>
      </w:r>
      <w:r w:rsidRPr="000E4498">
        <w:rPr>
          <w:color w:val="auto"/>
        </w:rPr>
        <w:lastRenderedPageBreak/>
        <w:t>l'exécution par le Fournisseur, ses salariés, agents ou sous-traitants, des obligations du Fournisseur au titre de la commande.</w:t>
      </w:r>
    </w:p>
    <w:p w14:paraId="2A45E4D5"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7A687C" w:rsidRDefault="00D749CB" w:rsidP="005A440D">
      <w:pPr>
        <w:tabs>
          <w:tab w:val="left" w:pos="284"/>
        </w:tabs>
        <w:spacing w:line="240" w:lineRule="auto"/>
        <w:ind w:left="284" w:right="-143"/>
        <w:jc w:val="both"/>
        <w:rPr>
          <w:color w:val="auto"/>
          <w:sz w:val="16"/>
          <w:szCs w:val="16"/>
        </w:rPr>
      </w:pPr>
    </w:p>
    <w:p w14:paraId="059FACF6" w14:textId="77777777" w:rsidR="00D01E33" w:rsidRPr="00B35F35" w:rsidRDefault="001F6C60" w:rsidP="007A687C">
      <w:pPr>
        <w:pStyle w:val="Titre3"/>
        <w:tabs>
          <w:tab w:val="left" w:pos="284"/>
        </w:tabs>
        <w:spacing w:after="0" w:line="240" w:lineRule="auto"/>
        <w:ind w:left="284" w:right="-142" w:firstLine="0"/>
        <w:jc w:val="both"/>
        <w:rPr>
          <w:sz w:val="28"/>
          <w:szCs w:val="28"/>
        </w:rPr>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B35F35">
        <w:rPr>
          <w:sz w:val="28"/>
          <w:szCs w:val="28"/>
        </w:rPr>
        <w:t>Article 14 : Sous-traitance</w:t>
      </w:r>
      <w:bookmarkEnd w:id="131"/>
      <w:bookmarkEnd w:id="132"/>
      <w:bookmarkEnd w:id="133"/>
      <w:bookmarkEnd w:id="134"/>
      <w:bookmarkEnd w:id="135"/>
      <w:bookmarkEnd w:id="136"/>
      <w:bookmarkEnd w:id="137"/>
    </w:p>
    <w:p w14:paraId="59BAFD7B" w14:textId="77777777" w:rsidR="00D96EAF" w:rsidRPr="00D96EAF" w:rsidRDefault="00D96EAF" w:rsidP="007A687C">
      <w:pPr>
        <w:tabs>
          <w:tab w:val="left" w:pos="284"/>
        </w:tabs>
        <w:spacing w:line="240" w:lineRule="auto"/>
        <w:ind w:left="284" w:right="-142"/>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7A687C" w:rsidRDefault="001F6C60" w:rsidP="005A440D">
      <w:pPr>
        <w:tabs>
          <w:tab w:val="left" w:pos="284"/>
        </w:tabs>
        <w:spacing w:line="240" w:lineRule="auto"/>
        <w:ind w:left="284" w:right="-143"/>
        <w:jc w:val="both"/>
        <w:rPr>
          <w:color w:val="auto"/>
          <w:sz w:val="16"/>
          <w:szCs w:val="16"/>
        </w:rPr>
      </w:pPr>
    </w:p>
    <w:p w14:paraId="57B169E3"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B35F35">
        <w:rPr>
          <w:sz w:val="28"/>
          <w:szCs w:val="28"/>
        </w:rPr>
        <w:t>Article 15 : Ethique</w:t>
      </w:r>
      <w:bookmarkEnd w:id="138"/>
      <w:bookmarkEnd w:id="139"/>
      <w:bookmarkEnd w:id="140"/>
      <w:bookmarkEnd w:id="141"/>
      <w:bookmarkEnd w:id="142"/>
      <w:bookmarkEnd w:id="143"/>
      <w:bookmarkEnd w:id="144"/>
    </w:p>
    <w:p w14:paraId="4C3813B6" w14:textId="77777777" w:rsidR="00E70B0F" w:rsidRPr="00BB3C18" w:rsidRDefault="00E70B0F" w:rsidP="007A687C">
      <w:pPr>
        <w:pStyle w:val="Titre4"/>
        <w:spacing w:line="240" w:lineRule="auto"/>
        <w:ind w:right="-142"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7A687C" w:rsidRDefault="00E70B0F" w:rsidP="005A440D">
      <w:pPr>
        <w:ind w:right="-143"/>
        <w:jc w:val="both"/>
        <w:rPr>
          <w:sz w:val="16"/>
          <w:szCs w:val="16"/>
        </w:rPr>
      </w:pPr>
    </w:p>
    <w:p w14:paraId="5BAE512B"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Default="005A440D" w:rsidP="005A440D">
      <w:pPr>
        <w:tabs>
          <w:tab w:val="left" w:pos="0"/>
        </w:tabs>
        <w:spacing w:line="240" w:lineRule="auto"/>
        <w:ind w:left="283" w:right="-142"/>
        <w:jc w:val="both"/>
        <w:rPr>
          <w:color w:val="auto"/>
        </w:rPr>
      </w:pPr>
    </w:p>
    <w:p w14:paraId="68E41131"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Default="00255281" w:rsidP="005A440D">
      <w:pPr>
        <w:tabs>
          <w:tab w:val="left" w:pos="0"/>
        </w:tabs>
        <w:spacing w:line="240" w:lineRule="auto"/>
        <w:ind w:right="-142"/>
        <w:jc w:val="both"/>
        <w:rPr>
          <w:color w:val="auto"/>
        </w:rPr>
      </w:pPr>
    </w:p>
    <w:p w14:paraId="5C95FD48" w14:textId="77777777" w:rsidR="005A779F" w:rsidRDefault="005A779F" w:rsidP="005A440D">
      <w:pPr>
        <w:tabs>
          <w:tab w:val="left" w:pos="0"/>
        </w:tabs>
        <w:spacing w:line="240" w:lineRule="auto"/>
        <w:ind w:right="-142"/>
        <w:jc w:val="both"/>
        <w:rPr>
          <w:color w:val="auto"/>
        </w:rPr>
      </w:pPr>
      <w:r w:rsidRPr="005A779F">
        <w:rPr>
          <w:color w:val="auto"/>
        </w:rPr>
        <w:lastRenderedPageBreak/>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7" w:history="1">
        <w:r w:rsidR="00955497" w:rsidRPr="00F25231">
          <w:rPr>
            <w:rStyle w:val="Lienhypertexte"/>
          </w:rPr>
          <w:t>https://hi.org/fr/formulaire-signalement</w:t>
        </w:r>
      </w:hyperlink>
    </w:p>
    <w:p w14:paraId="01229BD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7A687C" w:rsidRDefault="00B25D90" w:rsidP="005A440D">
      <w:pPr>
        <w:tabs>
          <w:tab w:val="left" w:pos="0"/>
        </w:tabs>
        <w:spacing w:line="240" w:lineRule="auto"/>
        <w:ind w:right="-142"/>
        <w:jc w:val="both"/>
        <w:rPr>
          <w:color w:val="auto"/>
          <w:sz w:val="16"/>
          <w:szCs w:val="16"/>
        </w:rPr>
      </w:pPr>
    </w:p>
    <w:p w14:paraId="1DC3D318" w14:textId="77777777" w:rsidR="001F6C60" w:rsidRPr="00B35F35" w:rsidRDefault="001F6C60" w:rsidP="00B35F35">
      <w:pPr>
        <w:pStyle w:val="Titre3"/>
        <w:tabs>
          <w:tab w:val="left" w:pos="284"/>
        </w:tabs>
        <w:spacing w:after="0" w:line="240" w:lineRule="auto"/>
        <w:ind w:left="284" w:right="-142" w:firstLine="0"/>
        <w:jc w:val="both"/>
        <w:rPr>
          <w:sz w:val="28"/>
          <w:szCs w:val="28"/>
        </w:rPr>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B35F35">
        <w:rPr>
          <w:sz w:val="28"/>
          <w:szCs w:val="28"/>
        </w:rPr>
        <w:t xml:space="preserve">Article 16 : </w:t>
      </w:r>
      <w:bookmarkEnd w:id="145"/>
      <w:bookmarkEnd w:id="146"/>
      <w:bookmarkEnd w:id="147"/>
      <w:bookmarkEnd w:id="148"/>
      <w:bookmarkEnd w:id="149"/>
      <w:r w:rsidR="00B25D90" w:rsidRPr="00B35F35">
        <w:rPr>
          <w:sz w:val="28"/>
          <w:szCs w:val="28"/>
        </w:rPr>
        <w:t>Clause résolutoire</w:t>
      </w:r>
      <w:bookmarkEnd w:id="150"/>
      <w:bookmarkEnd w:id="151"/>
      <w:r w:rsidR="00B25D90" w:rsidRPr="00B35F35">
        <w:rPr>
          <w:sz w:val="28"/>
          <w:szCs w:val="28"/>
        </w:rPr>
        <w:t xml:space="preserve"> </w:t>
      </w:r>
    </w:p>
    <w:p w14:paraId="7C85FEC4" w14:textId="77777777" w:rsidR="00B25D90" w:rsidRPr="00B25D90" w:rsidRDefault="00B25D90" w:rsidP="007A687C">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B25D90">
      <w:pPr>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B25D90">
      <w:pPr>
        <w:ind w:left="284"/>
        <w:rPr>
          <w:color w:val="auto"/>
        </w:rPr>
      </w:pPr>
      <w:r w:rsidRPr="00B25D90">
        <w:rPr>
          <w:color w:val="auto"/>
        </w:rPr>
        <w:t>- HI a manqué à son obligation de payer le prix ;</w:t>
      </w:r>
    </w:p>
    <w:p w14:paraId="514E5F3C" w14:textId="77777777" w:rsidR="00B25D90" w:rsidRPr="00B25D90" w:rsidRDefault="00B25D90" w:rsidP="00B25D90">
      <w:pPr>
        <w:ind w:left="284"/>
        <w:rPr>
          <w:color w:val="auto"/>
        </w:rPr>
      </w:pPr>
      <w:r w:rsidRPr="00B25D90">
        <w:rPr>
          <w:color w:val="auto"/>
        </w:rPr>
        <w:t>- HI a manqué à son obligation de prendre réception des marchandises ;</w:t>
      </w:r>
    </w:p>
    <w:p w14:paraId="46A86C9E"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B25D90">
      <w:pPr>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B25D90">
      <w:pPr>
        <w:tabs>
          <w:tab w:val="left" w:pos="284"/>
        </w:tabs>
        <w:spacing w:line="240" w:lineRule="auto"/>
        <w:ind w:left="284" w:right="-143"/>
        <w:jc w:val="both"/>
        <w:rPr>
          <w:color w:val="auto"/>
          <w:szCs w:val="20"/>
        </w:rPr>
      </w:pPr>
    </w:p>
    <w:p w14:paraId="47704B74"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rsidRPr="00B35F35">
        <w:rPr>
          <w:sz w:val="28"/>
          <w:szCs w:val="28"/>
        </w:rPr>
        <w:t>Article 17 : Force majeure</w:t>
      </w:r>
      <w:bookmarkEnd w:id="152"/>
      <w:bookmarkEnd w:id="153"/>
      <w:bookmarkEnd w:id="154"/>
      <w:bookmarkEnd w:id="155"/>
      <w:bookmarkEnd w:id="156"/>
      <w:bookmarkEnd w:id="157"/>
      <w:bookmarkEnd w:id="158"/>
      <w:r w:rsidRPr="00B35F35">
        <w:rPr>
          <w:sz w:val="28"/>
          <w:szCs w:val="28"/>
        </w:rPr>
        <w:t xml:space="preserve"> </w:t>
      </w:r>
    </w:p>
    <w:p w14:paraId="3A0B773C" w14:textId="77777777" w:rsidR="005378A3" w:rsidRPr="005378A3" w:rsidRDefault="005378A3" w:rsidP="007A687C">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5378A3">
      <w:pPr>
        <w:tabs>
          <w:tab w:val="left" w:pos="284"/>
        </w:tabs>
        <w:spacing w:line="240" w:lineRule="auto"/>
        <w:ind w:left="284" w:right="-143"/>
        <w:jc w:val="both"/>
        <w:rPr>
          <w:color w:val="auto"/>
          <w:szCs w:val="20"/>
        </w:rPr>
      </w:pPr>
    </w:p>
    <w:p w14:paraId="3BA4A22B" w14:textId="57F593B8" w:rsidR="00A45003" w:rsidRPr="00B35F35" w:rsidRDefault="00A45003" w:rsidP="00B35F35">
      <w:pPr>
        <w:pStyle w:val="Titre3"/>
        <w:tabs>
          <w:tab w:val="left" w:pos="284"/>
        </w:tabs>
        <w:spacing w:after="0" w:line="240" w:lineRule="auto"/>
        <w:ind w:left="284" w:right="-142" w:firstLine="0"/>
        <w:jc w:val="both"/>
        <w:rPr>
          <w:sz w:val="28"/>
          <w:szCs w:val="28"/>
        </w:rPr>
      </w:pPr>
      <w:r w:rsidRPr="00B35F35">
        <w:rPr>
          <w:sz w:val="28"/>
          <w:szCs w:val="28"/>
        </w:rPr>
        <w:t>Article 1</w:t>
      </w:r>
      <w:r w:rsidR="00BE0C20" w:rsidRPr="00B35F35">
        <w:rPr>
          <w:sz w:val="28"/>
          <w:szCs w:val="28"/>
        </w:rPr>
        <w:t>8</w:t>
      </w:r>
      <w:r w:rsidRPr="00B35F35">
        <w:rPr>
          <w:sz w:val="28"/>
          <w:szCs w:val="28"/>
        </w:rPr>
        <w:t xml:space="preserve"> : Loi applicable au règlement des différends</w:t>
      </w:r>
    </w:p>
    <w:p w14:paraId="35EE1DAB" w14:textId="745A5E03" w:rsidR="00A45003" w:rsidRPr="00A45003" w:rsidRDefault="00A45003" w:rsidP="00A45003">
      <w:pPr>
        <w:tabs>
          <w:tab w:val="left" w:pos="284"/>
        </w:tabs>
        <w:spacing w:line="240" w:lineRule="auto"/>
        <w:ind w:left="284" w:right="-143"/>
        <w:jc w:val="both"/>
        <w:rPr>
          <w:color w:val="auto"/>
        </w:rPr>
      </w:pPr>
      <w:r w:rsidRPr="00A45003">
        <w:rPr>
          <w:color w:val="auto"/>
        </w:rPr>
        <w:t xml:space="preserve">Les parties conviennent que la loi applicable au contrat est </w:t>
      </w:r>
      <w:r w:rsidRPr="007A687C">
        <w:rPr>
          <w:color w:val="auto"/>
        </w:rPr>
        <w:t xml:space="preserve">la loi </w:t>
      </w:r>
      <w:r w:rsidR="007A687C" w:rsidRPr="007A687C">
        <w:rPr>
          <w:color w:val="auto"/>
        </w:rPr>
        <w:t>béninoise</w:t>
      </w:r>
      <w:r w:rsidR="00BE0C20">
        <w:rPr>
          <w:color w:val="auto"/>
        </w:rPr>
        <w:t>.</w:t>
      </w:r>
    </w:p>
    <w:p w14:paraId="0AF4FEFE"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A45003">
      <w:pPr>
        <w:tabs>
          <w:tab w:val="left" w:pos="284"/>
        </w:tabs>
        <w:spacing w:line="240" w:lineRule="auto"/>
        <w:ind w:left="284" w:right="-143"/>
        <w:jc w:val="both"/>
        <w:rPr>
          <w:color w:val="auto"/>
        </w:rPr>
      </w:pPr>
    </w:p>
    <w:p w14:paraId="025991D2" w14:textId="2BCD0C37" w:rsidR="00A45003" w:rsidRPr="00B35F35" w:rsidRDefault="00A45003" w:rsidP="00B35F35">
      <w:pPr>
        <w:pStyle w:val="Titre3"/>
        <w:tabs>
          <w:tab w:val="left" w:pos="284"/>
        </w:tabs>
        <w:spacing w:after="0" w:line="240" w:lineRule="auto"/>
        <w:ind w:left="284" w:right="-142" w:firstLine="0"/>
        <w:jc w:val="both"/>
        <w:rPr>
          <w:sz w:val="28"/>
          <w:szCs w:val="28"/>
        </w:rPr>
      </w:pPr>
      <w:r w:rsidRPr="00B35F35">
        <w:rPr>
          <w:sz w:val="28"/>
          <w:szCs w:val="28"/>
        </w:rPr>
        <w:t xml:space="preserve">Article </w:t>
      </w:r>
      <w:r w:rsidR="00BE0C20" w:rsidRPr="00B35F35">
        <w:rPr>
          <w:sz w:val="28"/>
          <w:szCs w:val="28"/>
        </w:rPr>
        <w:t>19</w:t>
      </w:r>
      <w:r w:rsidRPr="00B35F35">
        <w:rPr>
          <w:sz w:val="28"/>
          <w:szCs w:val="28"/>
        </w:rPr>
        <w:t xml:space="preserve"> : clause attributive de juridiction</w:t>
      </w:r>
    </w:p>
    <w:p w14:paraId="413BDFA9"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2137F489" w:rsidR="005A440D" w:rsidRDefault="00A45003" w:rsidP="00A45003">
      <w:pPr>
        <w:tabs>
          <w:tab w:val="left" w:pos="284"/>
        </w:tabs>
        <w:spacing w:line="240" w:lineRule="auto"/>
        <w:ind w:left="284" w:right="-143"/>
        <w:jc w:val="both"/>
        <w:rPr>
          <w:color w:val="auto"/>
        </w:rPr>
      </w:pPr>
      <w:r w:rsidRPr="00A45003">
        <w:rPr>
          <w:color w:val="auto"/>
        </w:rPr>
        <w:t>A défaut de règlement amiable, elles consentent à ce que le règlement des litiges relève exclusivement de la compétence d</w:t>
      </w:r>
      <w:r>
        <w:rPr>
          <w:color w:val="auto"/>
        </w:rPr>
        <w:t xml:space="preserve">es tribunaux </w:t>
      </w:r>
      <w:r w:rsidR="007A687C">
        <w:rPr>
          <w:color w:val="auto"/>
        </w:rPr>
        <w:t>béninois de Cotonou.</w:t>
      </w:r>
      <w:r>
        <w:rPr>
          <w:color w:val="auto"/>
        </w:rPr>
        <w:t xml:space="preserve"> </w:t>
      </w:r>
    </w:p>
    <w:p w14:paraId="6C6497B5" w14:textId="77777777" w:rsidR="005A440D" w:rsidRDefault="005A440D" w:rsidP="005A440D">
      <w:pPr>
        <w:tabs>
          <w:tab w:val="left" w:pos="284"/>
        </w:tabs>
        <w:spacing w:line="240" w:lineRule="auto"/>
        <w:ind w:left="284" w:right="-143"/>
        <w:jc w:val="both"/>
        <w:rPr>
          <w:color w:val="auto"/>
        </w:rPr>
      </w:pPr>
    </w:p>
    <w:p w14:paraId="6A1CE261" w14:textId="77777777" w:rsidR="001F6C60" w:rsidRPr="00A86F66" w:rsidRDefault="001F6C60" w:rsidP="005A440D">
      <w:pPr>
        <w:tabs>
          <w:tab w:val="left" w:pos="284"/>
        </w:tabs>
        <w:spacing w:line="240" w:lineRule="auto"/>
        <w:ind w:left="284" w:right="-143"/>
        <w:jc w:val="both"/>
        <w:rPr>
          <w:color w:val="auto"/>
          <w:sz w:val="10"/>
          <w:szCs w:val="10"/>
        </w:rPr>
      </w:pPr>
    </w:p>
    <w:p w14:paraId="7125852B" w14:textId="4368B6A2" w:rsidR="001F6C60" w:rsidRPr="001F6C60" w:rsidRDefault="001F6C60" w:rsidP="005A440D">
      <w:pPr>
        <w:tabs>
          <w:tab w:val="left" w:pos="284"/>
        </w:tabs>
        <w:spacing w:line="240" w:lineRule="auto"/>
        <w:ind w:left="284" w:right="-143"/>
        <w:jc w:val="both"/>
        <w:rPr>
          <w:b/>
          <w:color w:val="auto"/>
        </w:rPr>
      </w:pPr>
      <w:r w:rsidRPr="001F6C60">
        <w:rPr>
          <w:b/>
          <w:color w:val="auto"/>
        </w:rPr>
        <w:t>Pour acceptation du fournisseur</w:t>
      </w:r>
      <w:r w:rsidR="00B35F35">
        <w:rPr>
          <w:b/>
          <w:color w:val="auto"/>
        </w:rPr>
        <w:t> :</w:t>
      </w:r>
    </w:p>
    <w:p w14:paraId="3F713383" w14:textId="77777777" w:rsidR="00B35F35" w:rsidRDefault="00B35F35" w:rsidP="005A440D">
      <w:pPr>
        <w:tabs>
          <w:tab w:val="left" w:pos="284"/>
        </w:tabs>
        <w:spacing w:line="240" w:lineRule="auto"/>
        <w:ind w:left="284" w:right="-143"/>
        <w:jc w:val="both"/>
        <w:rPr>
          <w:color w:val="auto"/>
        </w:rPr>
      </w:pPr>
    </w:p>
    <w:p w14:paraId="4772ABF8" w14:textId="02638851" w:rsid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00B35F35">
        <w:rPr>
          <w:color w:val="auto"/>
        </w:rPr>
        <w:tab/>
      </w:r>
      <w:r w:rsidR="00B35F35">
        <w:rPr>
          <w:color w:val="auto"/>
        </w:rPr>
        <w:tab/>
      </w:r>
      <w:r w:rsidR="00B35F35">
        <w:rPr>
          <w:color w:val="auto"/>
        </w:rPr>
        <w:tab/>
      </w:r>
      <w:r w:rsidRPr="001F6C60">
        <w:rPr>
          <w:color w:val="auto"/>
        </w:rPr>
        <w:t>Lieu :</w:t>
      </w:r>
    </w:p>
    <w:p w14:paraId="5EB62173" w14:textId="77777777" w:rsidR="00B35F35" w:rsidRPr="001F6C60" w:rsidRDefault="00B35F35" w:rsidP="005A440D">
      <w:pPr>
        <w:tabs>
          <w:tab w:val="left" w:pos="284"/>
        </w:tabs>
        <w:spacing w:line="240" w:lineRule="auto"/>
        <w:ind w:left="284" w:right="-143"/>
        <w:jc w:val="both"/>
        <w:rPr>
          <w:color w:val="auto"/>
        </w:rPr>
      </w:pPr>
    </w:p>
    <w:p w14:paraId="153C31EC" w14:textId="65E0F6A8" w:rsidR="001F6C60" w:rsidRDefault="001F6C60" w:rsidP="005A440D">
      <w:pPr>
        <w:tabs>
          <w:tab w:val="left" w:pos="284"/>
        </w:tabs>
        <w:spacing w:line="240" w:lineRule="auto"/>
        <w:ind w:left="284" w:right="-143"/>
        <w:jc w:val="both"/>
        <w:rPr>
          <w:color w:val="auto"/>
        </w:rPr>
      </w:pPr>
      <w:r w:rsidRPr="001F6C60">
        <w:rPr>
          <w:color w:val="auto"/>
        </w:rPr>
        <w:t xml:space="preserve">Nom </w:t>
      </w:r>
      <w:r w:rsidR="00B35F35">
        <w:rPr>
          <w:color w:val="auto"/>
        </w:rPr>
        <w:t>&amp; Prénom</w:t>
      </w:r>
      <w:r w:rsidR="00B35F35" w:rsidRPr="001F6C60">
        <w:rPr>
          <w:color w:val="auto"/>
        </w:rPr>
        <w:t xml:space="preserve"> :</w:t>
      </w:r>
      <w:r w:rsidRPr="001F6C60">
        <w:rPr>
          <w:color w:val="auto"/>
        </w:rPr>
        <w:t xml:space="preserve">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00B35F35">
        <w:rPr>
          <w:color w:val="auto"/>
        </w:rPr>
        <w:tab/>
      </w:r>
      <w:r w:rsidRPr="001F6C60">
        <w:rPr>
          <w:color w:val="auto"/>
        </w:rPr>
        <w:t xml:space="preserve">Fonction :        </w:t>
      </w:r>
    </w:p>
    <w:p w14:paraId="5FC37B1A" w14:textId="77777777" w:rsidR="00B35F35" w:rsidRPr="001F6C60" w:rsidRDefault="00B35F35" w:rsidP="005A440D">
      <w:pPr>
        <w:tabs>
          <w:tab w:val="left" w:pos="284"/>
        </w:tabs>
        <w:spacing w:line="240" w:lineRule="auto"/>
        <w:ind w:left="284" w:right="-143"/>
        <w:jc w:val="both"/>
        <w:rPr>
          <w:color w:val="auto"/>
        </w:rPr>
      </w:pPr>
    </w:p>
    <w:p w14:paraId="4153E2A2" w14:textId="77777777" w:rsidR="001F6C60" w:rsidRDefault="001F6C60" w:rsidP="005A440D">
      <w:pPr>
        <w:tabs>
          <w:tab w:val="left" w:pos="284"/>
        </w:tabs>
        <w:spacing w:line="240" w:lineRule="auto"/>
        <w:ind w:left="284" w:right="-143"/>
        <w:jc w:val="both"/>
        <w:rPr>
          <w:color w:val="auto"/>
        </w:rPr>
      </w:pPr>
    </w:p>
    <w:p w14:paraId="7F6AB860" w14:textId="77777777" w:rsidR="00B35F35" w:rsidRPr="001F6C60" w:rsidRDefault="00B35F35" w:rsidP="005A440D">
      <w:pPr>
        <w:tabs>
          <w:tab w:val="left" w:pos="284"/>
        </w:tabs>
        <w:spacing w:line="240" w:lineRule="auto"/>
        <w:ind w:left="284" w:right="-143"/>
        <w:jc w:val="both"/>
        <w:rPr>
          <w:color w:val="auto"/>
        </w:rPr>
      </w:pPr>
    </w:p>
    <w:p w14:paraId="4A2A27A9"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F12201">
      <w:headerReference w:type="default" r:id="rId18"/>
      <w:footerReference w:type="default" r:id="rId19"/>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1863B" w14:textId="77777777" w:rsidR="00F12201" w:rsidRDefault="00F12201" w:rsidP="003F1DF8">
      <w:pPr>
        <w:spacing w:line="240" w:lineRule="auto"/>
      </w:pPr>
      <w:r>
        <w:separator/>
      </w:r>
    </w:p>
  </w:endnote>
  <w:endnote w:type="continuationSeparator" w:id="0">
    <w:p w14:paraId="0AF7DD8B" w14:textId="77777777" w:rsidR="00F12201" w:rsidRDefault="00F12201"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panose1 w:val="00000500000000000000"/>
    <w:charset w:val="00"/>
    <w:family w:val="auto"/>
    <w:pitch w:val="variable"/>
    <w:sig w:usb0="20000007" w:usb1="00000001" w:usb2="00000000" w:usb3="00000000" w:csb0="00000193" w:csb1="00000000"/>
    <w:embedRegular r:id="rId1" w:fontKey="{24303E31-4D3D-4167-B21E-AC86AC59CDCE}"/>
    <w:embedBold r:id="rId2" w:fontKey="{98188024-9825-401A-A3DA-82375619AB8A}"/>
    <w:embedItalic r:id="rId3" w:fontKey="{9146A30E-D945-4AAD-A2A9-EEA81107FDFD}"/>
  </w:font>
  <w:font w:name="Calibri">
    <w:panose1 w:val="020F0502020204030204"/>
    <w:charset w:val="00"/>
    <w:family w:val="swiss"/>
    <w:pitch w:val="variable"/>
    <w:sig w:usb0="E4002EFF" w:usb1="C000247B" w:usb2="00000009" w:usb3="00000000" w:csb0="000001FF" w:csb1="00000000"/>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Libre Franklin">
    <w:altName w:val="Courier New"/>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Content>
      <w:p w14:paraId="617247C0" w14:textId="1BC3F76A" w:rsidR="00C80ABF" w:rsidRDefault="00C80ABF">
        <w:pPr>
          <w:pStyle w:val="Pieddepage"/>
          <w:jc w:val="right"/>
        </w:pPr>
        <w:r>
          <w:fldChar w:fldCharType="begin"/>
        </w:r>
        <w:r>
          <w:instrText>PAGE   \* MERGEFORMAT</w:instrText>
        </w:r>
        <w:r>
          <w:fldChar w:fldCharType="separate"/>
        </w:r>
        <w:r w:rsidR="005E34E8">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FE395" w14:textId="77777777" w:rsidR="00F12201" w:rsidRDefault="00F12201" w:rsidP="003F1DF8">
      <w:pPr>
        <w:spacing w:line="240" w:lineRule="auto"/>
      </w:pPr>
      <w:r>
        <w:separator/>
      </w:r>
    </w:p>
  </w:footnote>
  <w:footnote w:type="continuationSeparator" w:id="0">
    <w:p w14:paraId="2A4B4309" w14:textId="77777777" w:rsidR="00F12201" w:rsidRDefault="00F12201"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372729519">
    <w:abstractNumId w:val="5"/>
  </w:num>
  <w:num w:numId="2" w16cid:durableId="1969389117">
    <w:abstractNumId w:val="7"/>
  </w:num>
  <w:num w:numId="3" w16cid:durableId="1095437065">
    <w:abstractNumId w:val="9"/>
  </w:num>
  <w:num w:numId="4" w16cid:durableId="1029451912">
    <w:abstractNumId w:val="8"/>
  </w:num>
  <w:num w:numId="5" w16cid:durableId="75134135">
    <w:abstractNumId w:val="3"/>
  </w:num>
  <w:num w:numId="6" w16cid:durableId="1752314430">
    <w:abstractNumId w:val="14"/>
  </w:num>
  <w:num w:numId="7" w16cid:durableId="417681897">
    <w:abstractNumId w:val="13"/>
  </w:num>
  <w:num w:numId="8" w16cid:durableId="1968391404">
    <w:abstractNumId w:val="11"/>
  </w:num>
  <w:num w:numId="9" w16cid:durableId="650251973">
    <w:abstractNumId w:val="12"/>
  </w:num>
  <w:num w:numId="10" w16cid:durableId="813911311">
    <w:abstractNumId w:val="6"/>
  </w:num>
  <w:num w:numId="11" w16cid:durableId="2016297460">
    <w:abstractNumId w:val="10"/>
  </w:num>
  <w:num w:numId="12" w16cid:durableId="812285088">
    <w:abstractNumId w:val="0"/>
  </w:num>
  <w:num w:numId="13" w16cid:durableId="1746293695">
    <w:abstractNumId w:val="4"/>
  </w:num>
  <w:num w:numId="14" w16cid:durableId="1329283029">
    <w:abstractNumId w:val="1"/>
  </w:num>
  <w:num w:numId="15" w16cid:durableId="1481118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proofState w:spelling="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3088D"/>
    <w:rsid w:val="002309D8"/>
    <w:rsid w:val="00231F38"/>
    <w:rsid w:val="00237E3C"/>
    <w:rsid w:val="0024087B"/>
    <w:rsid w:val="00255281"/>
    <w:rsid w:val="002571FA"/>
    <w:rsid w:val="00257B1E"/>
    <w:rsid w:val="002617F8"/>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7645D"/>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D7080"/>
    <w:rsid w:val="005E2F6A"/>
    <w:rsid w:val="005E34E8"/>
    <w:rsid w:val="005E3CB6"/>
    <w:rsid w:val="005F6E21"/>
    <w:rsid w:val="00602AF6"/>
    <w:rsid w:val="006044E3"/>
    <w:rsid w:val="00620F8D"/>
    <w:rsid w:val="00624318"/>
    <w:rsid w:val="0062607E"/>
    <w:rsid w:val="00627F23"/>
    <w:rsid w:val="00642467"/>
    <w:rsid w:val="0068158F"/>
    <w:rsid w:val="006B4727"/>
    <w:rsid w:val="006B5589"/>
    <w:rsid w:val="006B7E89"/>
    <w:rsid w:val="006C0834"/>
    <w:rsid w:val="006D3089"/>
    <w:rsid w:val="006E13AB"/>
    <w:rsid w:val="006F059A"/>
    <w:rsid w:val="007127FB"/>
    <w:rsid w:val="0071537F"/>
    <w:rsid w:val="00717DD0"/>
    <w:rsid w:val="00783479"/>
    <w:rsid w:val="00784994"/>
    <w:rsid w:val="00784E93"/>
    <w:rsid w:val="007A687C"/>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958C1"/>
    <w:rsid w:val="009B647F"/>
    <w:rsid w:val="009E7C7D"/>
    <w:rsid w:val="00A01146"/>
    <w:rsid w:val="00A26101"/>
    <w:rsid w:val="00A3083E"/>
    <w:rsid w:val="00A36CA6"/>
    <w:rsid w:val="00A45003"/>
    <w:rsid w:val="00A45D65"/>
    <w:rsid w:val="00A5445D"/>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35F35"/>
    <w:rsid w:val="00B66698"/>
    <w:rsid w:val="00B66EF3"/>
    <w:rsid w:val="00B87344"/>
    <w:rsid w:val="00B92AE5"/>
    <w:rsid w:val="00BB3C18"/>
    <w:rsid w:val="00BC0EAC"/>
    <w:rsid w:val="00BC25A6"/>
    <w:rsid w:val="00BC3C18"/>
    <w:rsid w:val="00BD6A8C"/>
    <w:rsid w:val="00BE0C20"/>
    <w:rsid w:val="00BF3091"/>
    <w:rsid w:val="00BF3421"/>
    <w:rsid w:val="00C066A1"/>
    <w:rsid w:val="00C06FFF"/>
    <w:rsid w:val="00C148B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70B0F"/>
    <w:rsid w:val="00E841D2"/>
    <w:rsid w:val="00EB13AC"/>
    <w:rsid w:val="00EC4548"/>
    <w:rsid w:val="00ED4C7E"/>
    <w:rsid w:val="00EE586D"/>
    <w:rsid w:val="00EF3929"/>
    <w:rsid w:val="00EF43CE"/>
    <w:rsid w:val="00F12201"/>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hi.org/fr/formulaire-signalement" TargetMode="External"/><Relationship Id="rId2" Type="http://schemas.openxmlformats.org/officeDocument/2006/relationships/customXml" Target="../customXml/item1.xml"/><Relationship Id="rId16" Type="http://schemas.openxmlformats.org/officeDocument/2006/relationships/hyperlink" Target="file:///Z:\Direction%20Logistique\Supply%20Chain\Achats\Projets%20HA\Projet%20Mod&#233;lisation%20processus\Conditions%20generales%20d'achat%20HI%202%20juin%202020.docx"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file:///Z:\Direction%20Logistique\Supply%20Chain\Achats\Projets%20HA\Projet%20Mod&#233;lisation%20processus\Conditions%20generales%20d'achat%20HI%202%20juin%202020.docx"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customXml" Target="../customXml/item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f58d04a37a4fddf265974a37a20aee0f">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2f59392a7ff313e92160afc8f3c384cf"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A02340-B471-4BAF-9F1B-6A1BFD4367C8}">
  <ds:schemaRefs>
    <ds:schemaRef ds:uri="http://schemas.openxmlformats.org/officeDocument/2006/bibliography"/>
  </ds:schemaRefs>
</ds:datastoreItem>
</file>

<file path=customXml/itemProps3.xml><?xml version="1.0" encoding="utf-8"?>
<ds:datastoreItem xmlns:ds="http://schemas.openxmlformats.org/officeDocument/2006/customXml" ds:itemID="{B27F98E0-1F91-4065-8B1C-14AB34FC48F4}">
  <ds:schemaRefs>
    <ds:schemaRef ds:uri="http://schemas.microsoft.com/sharepoint/v3/contenttype/forms"/>
  </ds:schemaRefs>
</ds:datastoreItem>
</file>

<file path=customXml/itemProps4.xml><?xml version="1.0" encoding="utf-8"?>
<ds:datastoreItem xmlns:ds="http://schemas.openxmlformats.org/officeDocument/2006/customXml" ds:itemID="{D37B0674-824B-4822-B0EC-291FEF92610B}"/>
</file>

<file path=customXml/itemProps5.xml><?xml version="1.0" encoding="utf-8"?>
<ds:datastoreItem xmlns:ds="http://schemas.openxmlformats.org/officeDocument/2006/customXml" ds:itemID="{93F9E9E3-B83F-4682-9F00-D8FB25939DC6}"/>
</file>

<file path=docProps/app.xml><?xml version="1.0" encoding="utf-8"?>
<Properties xmlns="http://schemas.openxmlformats.org/officeDocument/2006/extended-properties" xmlns:vt="http://schemas.openxmlformats.org/officeDocument/2006/docPropsVTypes">
  <Template>Normal</Template>
  <TotalTime>12</TotalTime>
  <Pages>9</Pages>
  <Words>3756</Words>
  <Characters>20663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5</cp:revision>
  <cp:lastPrinted>2024-01-24T08:11:00Z</cp:lastPrinted>
  <dcterms:created xsi:type="dcterms:W3CDTF">2024-03-27T09:33:00Z</dcterms:created>
  <dcterms:modified xsi:type="dcterms:W3CDTF">2024-03-27T09:44:00Z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ies>
</file>