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9AC61E">
      <w:pPr>
        <w:ind w:left="0"/>
        <w:rPr>
          <w:rFonts w:asciiTheme="minorHAnsi" w:hAnsiTheme="minorHAnsi" w:cstheme="minorHAnsi"/>
          <w:sz w:val="22"/>
          <w:szCs w:val="22"/>
          <w:lang w:val="pt-PT"/>
        </w:rPr>
      </w:pPr>
      <w:r>
        <w:rPr>
          <w:rFonts w:asciiTheme="minorHAnsi" w:hAnsiTheme="minorHAnsi" w:cstheme="minorHAnsi"/>
          <w:lang w:val="pt-PT"/>
        </w:rPr>
        <mc:AlternateContent>
          <mc:Choice Requires="wps">
            <w:drawing>
              <wp:anchor distT="45720" distB="45720" distL="114300" distR="114300" simplePos="0" relativeHeight="251659264" behindDoc="0" locked="0" layoutInCell="1" allowOverlap="1">
                <wp:simplePos x="0" y="0"/>
                <wp:positionH relativeFrom="column">
                  <wp:posOffset>4226560</wp:posOffset>
                </wp:positionH>
                <wp:positionV relativeFrom="paragraph">
                  <wp:posOffset>-7620</wp:posOffset>
                </wp:positionV>
                <wp:extent cx="1967230" cy="643255"/>
                <wp:effectExtent l="0" t="0" r="0" b="0"/>
                <wp:wrapSquare wrapText="bothSides"/>
                <wp:docPr id="1834514791" name="Text Box 2"/>
                <wp:cNvGraphicFramePr/>
                <a:graphic xmlns:a="http://schemas.openxmlformats.org/drawingml/2006/main">
                  <a:graphicData uri="http://schemas.microsoft.com/office/word/2010/wordprocessingShape">
                    <wps:wsp>
                      <wps:cNvSpPr txBox="1">
                        <a:spLocks noChangeArrowheads="1"/>
                      </wps:cNvSpPr>
                      <wps:spPr bwMode="auto">
                        <a:xfrm>
                          <a:off x="0" y="0"/>
                          <a:ext cx="1967230" cy="643255"/>
                        </a:xfrm>
                        <a:prstGeom prst="rect">
                          <a:avLst/>
                        </a:prstGeom>
                        <a:noFill/>
                        <a:ln>
                          <a:noFill/>
                        </a:ln>
                      </wps:spPr>
                      <wps:txbx>
                        <w:txbxContent>
                          <w:p w14:paraId="7FAD7AB5">
                            <w:pPr>
                              <w:ind w:left="0"/>
                              <w:rPr>
                                <w:rFonts w:ascii="Calibri" w:hAnsi="Calibri"/>
                                <w:b/>
                                <w:bCs/>
                                <w:caps/>
                                <w:sz w:val="22"/>
                                <w:szCs w:val="22"/>
                                <w:highlight w:val="none"/>
                              </w:rPr>
                            </w:pPr>
                            <w:r>
                              <w:rPr>
                                <w:rFonts w:ascii="Calibri" w:hAnsi="Calibri"/>
                                <w:b/>
                                <w:bCs/>
                                <w:caps/>
                                <w:sz w:val="22"/>
                                <w:szCs w:val="22"/>
                                <w:highlight w:val="none"/>
                                <w:lang w:val="pt-PT"/>
                              </w:rPr>
                              <w:t>0</w:t>
                            </w:r>
                            <w:r>
                              <w:rPr>
                                <w:rFonts w:hint="default" w:ascii="Calibri" w:hAnsi="Calibri"/>
                                <w:b/>
                                <w:bCs/>
                                <w:caps/>
                                <w:sz w:val="22"/>
                                <w:szCs w:val="22"/>
                                <w:highlight w:val="none"/>
                                <w:lang w:val="pt-PT"/>
                              </w:rPr>
                              <w:t xml:space="preserve">2 DE SETEMBRO DE </w:t>
                            </w:r>
                            <w:r>
                              <w:rPr>
                                <w:rFonts w:ascii="Calibri" w:hAnsi="Calibri"/>
                                <w:b/>
                                <w:bCs/>
                                <w:caps/>
                                <w:sz w:val="22"/>
                                <w:szCs w:val="22"/>
                                <w:highlight w:val="none"/>
                              </w:rPr>
                              <w:t xml:space="preserve"> 2025</w:t>
                            </w:r>
                          </w:p>
                          <w:p w14:paraId="419AC8B7">
                            <w:pPr>
                              <w:ind w:left="0"/>
                              <w:rPr>
                                <w:rFonts w:ascii="Calibri" w:hAnsi="Calibri"/>
                                <w:b/>
                                <w:bCs/>
                                <w:caps/>
                                <w:sz w:val="22"/>
                                <w:szCs w:val="22"/>
                                <w:highlight w:val="yellow"/>
                              </w:rPr>
                            </w:pP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332.8pt;margin-top:-0.6pt;height:50.65pt;width:154.9pt;mso-wrap-distance-bottom:3.6pt;mso-wrap-distance-left:9pt;mso-wrap-distance-right:9pt;mso-wrap-distance-top:3.6pt;z-index:251659264;mso-width-relative:page;mso-height-relative:page;" filled="f" stroked="f" coordsize="21600,21600" o:gfxdata="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bvzK/YAAAACgEAAA8AAAAAAAAAAQAg&#10;AAAAIgAAAGRycy9kb3ducmV2LnhtbFBLAQIUABQAAAAIAIdO4kAembY3DgIAAB0EAAAOAAAAAAAA&#10;AAEAIAAAACcBAABkcnMvZTJvRG9jLnhtbFBLBQYAAAAABgAGAFkBAACnBQAAAAA=&#10;">
                <v:fill on="f" focussize="0,0"/>
                <v:stroke on="f"/>
                <v:imagedata o:title=""/>
                <o:lock v:ext="edit" aspectratio="f"/>
                <v:textbox>
                  <w:txbxContent>
                    <w:p w14:paraId="7FAD7AB5">
                      <w:pPr>
                        <w:ind w:left="0"/>
                        <w:rPr>
                          <w:rFonts w:ascii="Calibri" w:hAnsi="Calibri"/>
                          <w:b/>
                          <w:bCs/>
                          <w:caps/>
                          <w:sz w:val="22"/>
                          <w:szCs w:val="22"/>
                          <w:highlight w:val="none"/>
                        </w:rPr>
                      </w:pPr>
                      <w:r>
                        <w:rPr>
                          <w:rFonts w:ascii="Calibri" w:hAnsi="Calibri"/>
                          <w:b/>
                          <w:bCs/>
                          <w:caps/>
                          <w:sz w:val="22"/>
                          <w:szCs w:val="22"/>
                          <w:highlight w:val="none"/>
                          <w:lang w:val="pt-PT"/>
                        </w:rPr>
                        <w:t>0</w:t>
                      </w:r>
                      <w:r>
                        <w:rPr>
                          <w:rFonts w:hint="default" w:ascii="Calibri" w:hAnsi="Calibri"/>
                          <w:b/>
                          <w:bCs/>
                          <w:caps/>
                          <w:sz w:val="22"/>
                          <w:szCs w:val="22"/>
                          <w:highlight w:val="none"/>
                          <w:lang w:val="pt-PT"/>
                        </w:rPr>
                        <w:t xml:space="preserve">2 DE SETEMBRO DE </w:t>
                      </w:r>
                      <w:r>
                        <w:rPr>
                          <w:rFonts w:ascii="Calibri" w:hAnsi="Calibri"/>
                          <w:b/>
                          <w:bCs/>
                          <w:caps/>
                          <w:sz w:val="22"/>
                          <w:szCs w:val="22"/>
                          <w:highlight w:val="none"/>
                        </w:rPr>
                        <w:t xml:space="preserve"> 2025</w:t>
                      </w:r>
                    </w:p>
                    <w:p w14:paraId="419AC8B7">
                      <w:pPr>
                        <w:ind w:left="0"/>
                        <w:rPr>
                          <w:rFonts w:ascii="Calibri" w:hAnsi="Calibri"/>
                          <w:b/>
                          <w:bCs/>
                          <w:caps/>
                          <w:sz w:val="22"/>
                          <w:szCs w:val="22"/>
                          <w:highlight w:val="yellow"/>
                        </w:rPr>
                      </w:pPr>
                    </w:p>
                  </w:txbxContent>
                </v:textbox>
                <w10:wrap type="square"/>
              </v:shape>
            </w:pict>
          </mc:Fallback>
        </mc:AlternateContent>
      </w:r>
      <w:r>
        <w:rPr>
          <w:rFonts w:asciiTheme="minorHAnsi" w:hAnsiTheme="minorHAnsi" w:cstheme="minorHAnsi"/>
          <w:sz w:val="22"/>
          <w:szCs w:val="22"/>
          <w:lang w:val="pt-PT"/>
        </w:rPr>
        <w:drawing>
          <wp:inline distT="0" distB="0" distL="0" distR="0">
            <wp:extent cx="1524000" cy="7245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550371" cy="737139"/>
                    </a:xfrm>
                    <a:prstGeom prst="rect">
                      <a:avLst/>
                    </a:prstGeom>
                    <a:noFill/>
                    <a:ln>
                      <a:noFill/>
                    </a:ln>
                  </pic:spPr>
                </pic:pic>
              </a:graphicData>
            </a:graphic>
          </wp:inline>
        </w:drawing>
      </w:r>
    </w:p>
    <w:p w14:paraId="419AC61F">
      <w:pPr>
        <w:ind w:left="0" w:firstLine="720"/>
        <w:jc w:val="center"/>
        <w:rPr>
          <w:rFonts w:asciiTheme="minorHAnsi" w:hAnsiTheme="minorHAnsi" w:cstheme="minorHAnsi"/>
          <w:b/>
          <w:bCs/>
          <w:caps/>
          <w:sz w:val="22"/>
          <w:szCs w:val="22"/>
          <w:lang w:val="pt-PT"/>
        </w:rPr>
      </w:pPr>
    </w:p>
    <w:p w14:paraId="419AC620">
      <w:pPr>
        <w:ind w:left="0" w:firstLine="720"/>
        <w:jc w:val="center"/>
        <w:rPr>
          <w:rFonts w:asciiTheme="minorHAnsi" w:hAnsiTheme="minorHAnsi" w:cstheme="minorHAnsi"/>
          <w:b/>
          <w:bCs/>
          <w:caps/>
          <w:sz w:val="22"/>
          <w:szCs w:val="22"/>
          <w:lang w:val="pt-PT"/>
        </w:rPr>
      </w:pPr>
      <w:r>
        <w:rPr>
          <w:rFonts w:asciiTheme="minorHAnsi" w:hAnsiTheme="minorHAnsi" w:cstheme="minorHAnsi"/>
          <w:b/>
          <w:bCs/>
          <w:caps/>
          <w:sz w:val="22"/>
          <w:szCs w:val="22"/>
          <w:lang w:val="pt-PT"/>
        </w:rPr>
        <w:t>MALÁRIA consortium Moçambique</w:t>
      </w:r>
    </w:p>
    <w:p w14:paraId="419AC621">
      <w:pPr>
        <w:pBdr>
          <w:bottom w:val="single" w:color="auto" w:sz="4" w:space="1"/>
        </w:pBdr>
        <w:ind w:left="720"/>
        <w:jc w:val="center"/>
        <w:rPr>
          <w:rFonts w:asciiTheme="minorHAnsi" w:hAnsiTheme="minorHAnsi" w:cstheme="minorHAnsi"/>
          <w:b/>
          <w:bCs/>
          <w:caps/>
          <w:sz w:val="22"/>
          <w:szCs w:val="22"/>
          <w:lang w:val="pt-PT"/>
        </w:rPr>
      </w:pPr>
      <w:r>
        <w:rPr>
          <w:rFonts w:asciiTheme="minorHAnsi" w:hAnsiTheme="minorHAnsi" w:cstheme="minorHAnsi"/>
          <w:b/>
          <w:bCs/>
          <w:caps/>
          <w:sz w:val="22"/>
          <w:szCs w:val="22"/>
          <w:lang w:val="pt-PT"/>
        </w:rPr>
        <w:t xml:space="preserve">Manifestação de interesse (EOI) para </w:t>
      </w:r>
      <w:r>
        <w:rPr>
          <w:rFonts w:asciiTheme="minorHAnsi" w:hAnsiTheme="minorHAnsi"/>
          <w:b/>
          <w:bCs/>
          <w:caps/>
          <w:sz w:val="22"/>
          <w:szCs w:val="22"/>
          <w:lang w:val="pt-PT"/>
        </w:rPr>
        <w:t>fornecimento de produtos e serviços para o período 2025-2026</w:t>
      </w:r>
      <w:r>
        <w:rPr>
          <w:rFonts w:asciiTheme="minorHAnsi" w:hAnsiTheme="minorHAnsi" w:cstheme="minorHAnsi"/>
          <w:b/>
          <w:bCs/>
          <w:caps/>
          <w:sz w:val="22"/>
          <w:szCs w:val="22"/>
          <w:lang w:val="pt-PT"/>
        </w:rPr>
        <w:t xml:space="preserve"> </w:t>
      </w:r>
    </w:p>
    <w:p w14:paraId="419AC623">
      <w:pPr>
        <w:pBdr>
          <w:bottom w:val="single" w:color="auto" w:sz="4" w:space="1"/>
        </w:pBdr>
        <w:ind w:left="720"/>
        <w:jc w:val="center"/>
        <w:rPr>
          <w:rFonts w:asciiTheme="minorHAnsi" w:hAnsiTheme="minorHAnsi" w:cstheme="minorHAnsi"/>
          <w:b/>
          <w:bCs/>
          <w:caps/>
          <w:sz w:val="22"/>
          <w:szCs w:val="22"/>
          <w:lang w:val="pt-PT"/>
        </w:rPr>
      </w:pPr>
      <w:r>
        <w:rPr>
          <w:rFonts w:asciiTheme="minorHAnsi" w:hAnsiTheme="minorHAnsi" w:cstheme="minorHAnsi"/>
          <w:b/>
          <w:bCs/>
          <w:caps/>
          <w:sz w:val="22"/>
          <w:szCs w:val="22"/>
          <w:lang w:val="pt-PT"/>
        </w:rPr>
        <w:t xml:space="preserve">REF: </w:t>
      </w:r>
      <w:bookmarkStart w:id="0" w:name="_Hlk151378114"/>
      <w:r>
        <w:rPr>
          <w:rFonts w:asciiTheme="minorHAnsi" w:hAnsiTheme="minorHAnsi" w:cstheme="minorHAnsi"/>
          <w:b/>
          <w:bCs/>
          <w:caps/>
          <w:sz w:val="22"/>
          <w:szCs w:val="22"/>
          <w:lang w:val="pt-PT"/>
        </w:rPr>
        <w:t>MC-MZ-SMC</w:t>
      </w:r>
      <w:r>
        <w:rPr>
          <w:rFonts w:hint="default" w:asciiTheme="minorHAnsi" w:hAnsiTheme="minorHAnsi" w:cstheme="minorHAnsi"/>
          <w:b/>
          <w:bCs/>
          <w:caps/>
          <w:sz w:val="22"/>
          <w:szCs w:val="22"/>
          <w:lang w:val="pt-PT"/>
        </w:rPr>
        <w:t>-012</w:t>
      </w:r>
      <w:bookmarkEnd w:id="0"/>
    </w:p>
    <w:p w14:paraId="419AC624">
      <w:pPr>
        <w:ind w:left="0"/>
        <w:rPr>
          <w:rFonts w:asciiTheme="minorHAnsi" w:hAnsiTheme="minorHAnsi" w:cstheme="minorHAnsi"/>
          <w:b/>
          <w:sz w:val="22"/>
          <w:szCs w:val="22"/>
          <w:lang w:val="pt-PT"/>
        </w:rPr>
      </w:pPr>
    </w:p>
    <w:p w14:paraId="419AC625">
      <w:pPr>
        <w:ind w:left="0"/>
        <w:jc w:val="both"/>
        <w:rPr>
          <w:rFonts w:ascii="Calibri" w:hAnsi="Calibri" w:cs="Calibri"/>
          <w:b/>
          <w:sz w:val="24"/>
          <w:szCs w:val="24"/>
          <w:lang w:val="pt-PT"/>
        </w:rPr>
      </w:pPr>
      <w:r>
        <w:rPr>
          <w:rFonts w:ascii="Calibri" w:hAnsi="Calibri" w:cs="Calibri"/>
          <w:b/>
          <w:sz w:val="24"/>
          <w:szCs w:val="24"/>
          <w:lang w:val="pt-PT"/>
        </w:rPr>
        <w:t>CADERNO DE ENCARGOS E INSTRUÇÕES AOS LICITANTES</w:t>
      </w:r>
    </w:p>
    <w:p w14:paraId="419AC626">
      <w:pPr>
        <w:ind w:left="0"/>
        <w:jc w:val="both"/>
        <w:rPr>
          <w:rFonts w:ascii="Calibri" w:hAnsi="Calibri" w:cs="Calibri"/>
          <w:sz w:val="24"/>
          <w:szCs w:val="24"/>
          <w:lang w:val="pt-PT"/>
        </w:rPr>
      </w:pPr>
    </w:p>
    <w:p w14:paraId="419AC627">
      <w:pPr>
        <w:pStyle w:val="5"/>
        <w:tabs>
          <w:tab w:val="left" w:pos="426"/>
        </w:tabs>
        <w:ind w:left="426" w:hanging="426"/>
        <w:jc w:val="both"/>
        <w:rPr>
          <w:rFonts w:ascii="Calibri" w:hAnsi="Calibri" w:cs="Calibri"/>
          <w:sz w:val="24"/>
          <w:szCs w:val="24"/>
          <w:lang w:val="pt-PT"/>
        </w:rPr>
      </w:pPr>
      <w:r>
        <w:rPr>
          <w:rFonts w:ascii="Calibri" w:hAnsi="Calibri" w:cs="Calibri"/>
          <w:sz w:val="24"/>
          <w:szCs w:val="24"/>
          <w:lang w:val="pt-PT"/>
        </w:rPr>
        <w:t xml:space="preserve">A. Malária Consortium </w:t>
      </w:r>
    </w:p>
    <w:p w14:paraId="419AC628">
      <w:pPr>
        <w:ind w:left="0"/>
        <w:jc w:val="both"/>
        <w:rPr>
          <w:rFonts w:ascii="Calibri" w:hAnsi="Calibri" w:cs="Calibri"/>
          <w:sz w:val="24"/>
          <w:szCs w:val="24"/>
          <w:lang w:val="pt-PT"/>
        </w:rPr>
      </w:pPr>
    </w:p>
    <w:p w14:paraId="419AC629">
      <w:pPr>
        <w:ind w:left="0"/>
        <w:jc w:val="both"/>
        <w:rPr>
          <w:rFonts w:ascii="Calibri" w:hAnsi="Calibri" w:eastAsia="Calibri" w:cs="Calibri"/>
          <w:spacing w:val="0"/>
          <w:sz w:val="24"/>
          <w:szCs w:val="24"/>
          <w:lang w:val="pt-PT"/>
        </w:rPr>
      </w:pPr>
      <w:r>
        <w:rPr>
          <w:rFonts w:ascii="Calibri" w:hAnsi="Calibri" w:eastAsia="Calibri" w:cs="Calibri"/>
          <w:spacing w:val="0"/>
          <w:sz w:val="24"/>
          <w:szCs w:val="24"/>
          <w:lang w:val="pt-PT"/>
        </w:rPr>
        <w:t>Criad</w:t>
      </w:r>
      <w:r>
        <w:rPr>
          <w:rFonts w:hint="default" w:ascii="Calibri" w:hAnsi="Calibri" w:eastAsia="Calibri" w:cs="Calibri"/>
          <w:spacing w:val="0"/>
          <w:sz w:val="24"/>
          <w:szCs w:val="24"/>
          <w:lang w:val="pt-PT"/>
        </w:rPr>
        <w:t>a</w:t>
      </w:r>
      <w:r>
        <w:rPr>
          <w:rFonts w:ascii="Calibri" w:hAnsi="Calibri" w:eastAsia="Calibri" w:cs="Calibri"/>
          <w:spacing w:val="0"/>
          <w:sz w:val="24"/>
          <w:szCs w:val="24"/>
          <w:lang w:val="pt-PT"/>
        </w:rPr>
        <w:t xml:space="preserve"> em 2003, </w:t>
      </w:r>
      <w:r>
        <w:rPr>
          <w:rFonts w:hint="default" w:ascii="Calibri" w:hAnsi="Calibri" w:eastAsia="Calibri" w:cs="Calibri"/>
          <w:spacing w:val="0"/>
          <w:sz w:val="24"/>
          <w:szCs w:val="24"/>
          <w:lang w:val="pt-PT"/>
        </w:rPr>
        <w:t xml:space="preserve">a </w:t>
      </w:r>
      <w:r>
        <w:rPr>
          <w:rFonts w:ascii="Calibri" w:hAnsi="Calibri" w:eastAsia="Calibri" w:cs="Calibri"/>
          <w:spacing w:val="0"/>
          <w:sz w:val="24"/>
          <w:szCs w:val="24"/>
          <w:lang w:val="pt-PT"/>
        </w:rPr>
        <w:t>Malaria Consortium é uma das principais organizações sem fins lucrativos do mundo, especializada na prevenção, controlo e tratamento da malária e de outras doenças transmissíveis entre populações vulneráveis. A nossa missão é salvar vidas e melhorar a saúde em África e na Ásia, através de programas baseados em dados concretos que combatam doenças específicas e promovam a cobertura universal de saúde.</w:t>
      </w:r>
    </w:p>
    <w:p w14:paraId="419AC62A">
      <w:pPr>
        <w:ind w:left="0"/>
        <w:jc w:val="both"/>
        <w:rPr>
          <w:rFonts w:ascii="Calibri" w:hAnsi="Calibri" w:eastAsia="Calibri" w:cs="Calibri"/>
          <w:spacing w:val="0"/>
          <w:sz w:val="24"/>
          <w:szCs w:val="24"/>
          <w:lang w:val="pt-PT"/>
        </w:rPr>
      </w:pPr>
    </w:p>
    <w:p w14:paraId="419AC62B">
      <w:pPr>
        <w:ind w:left="0"/>
        <w:jc w:val="both"/>
        <w:rPr>
          <w:rFonts w:ascii="Calibri" w:hAnsi="Calibri" w:eastAsia="Calibri" w:cs="Calibri"/>
          <w:spacing w:val="0"/>
          <w:sz w:val="24"/>
          <w:szCs w:val="24"/>
          <w:lang w:val="pt-PT"/>
        </w:rPr>
      </w:pPr>
      <w:r>
        <w:rPr>
          <w:rFonts w:ascii="Calibri" w:hAnsi="Calibri" w:eastAsia="Calibri" w:cs="Calibri"/>
          <w:spacing w:val="0"/>
          <w:sz w:val="24"/>
          <w:szCs w:val="24"/>
          <w:lang w:val="pt-PT"/>
        </w:rPr>
        <w:t>A Malaria Consortium está empenhada em obter um valor justo para os serviços recebidos com um preço competitivo e entrega atempada das quantidades certas com a qualidade certa.</w:t>
      </w:r>
    </w:p>
    <w:p w14:paraId="419AC62C">
      <w:pPr>
        <w:ind w:left="0"/>
        <w:jc w:val="both"/>
        <w:rPr>
          <w:rFonts w:ascii="Calibri" w:hAnsi="Calibri" w:eastAsia="Calibri" w:cs="Calibri"/>
          <w:spacing w:val="0"/>
          <w:sz w:val="24"/>
          <w:szCs w:val="24"/>
          <w:lang w:val="pt-PT"/>
        </w:rPr>
      </w:pPr>
    </w:p>
    <w:p w14:paraId="419AC62D">
      <w:pPr>
        <w:pStyle w:val="4"/>
        <w:numPr>
          <w:ilvl w:val="0"/>
          <w:numId w:val="3"/>
        </w:numPr>
        <w:tabs>
          <w:tab w:val="clear" w:pos="360"/>
        </w:tabs>
        <w:ind w:left="0" w:firstLine="0"/>
        <w:jc w:val="both"/>
        <w:rPr>
          <w:rFonts w:ascii="Calibri" w:hAnsi="Calibri" w:cs="Calibri"/>
          <w:sz w:val="24"/>
          <w:szCs w:val="24"/>
          <w:lang w:val="pt-PT"/>
        </w:rPr>
      </w:pPr>
      <w:r>
        <w:rPr>
          <w:rFonts w:ascii="Calibri" w:hAnsi="Calibri" w:cs="Calibri"/>
          <w:sz w:val="24"/>
          <w:szCs w:val="24"/>
          <w:lang w:val="pt-PT"/>
        </w:rPr>
        <w:t>Informação Administrativa</w:t>
      </w:r>
    </w:p>
    <w:p w14:paraId="419AC62E">
      <w:pPr>
        <w:jc w:val="both"/>
        <w:rPr>
          <w:rFonts w:ascii="Calibri" w:hAnsi="Calibri" w:cs="Calibri"/>
          <w:sz w:val="24"/>
          <w:szCs w:val="24"/>
          <w:lang w:val="pt-PT"/>
        </w:rPr>
      </w:pPr>
    </w:p>
    <w:p w14:paraId="419AC62F">
      <w:pPr>
        <w:pStyle w:val="31"/>
        <w:jc w:val="both"/>
        <w:rPr>
          <w:sz w:val="24"/>
          <w:szCs w:val="24"/>
        </w:rPr>
      </w:pPr>
      <w:r>
        <w:rPr>
          <w:sz w:val="24"/>
          <w:szCs w:val="24"/>
        </w:rPr>
        <w:t>A intenção desta manifestação de interesse consiste na contratação de empresas para fornecimento de produtos e serviços para o período 2025-2026</w:t>
      </w:r>
      <w:r>
        <w:rPr>
          <w:rFonts w:hint="default"/>
          <w:sz w:val="24"/>
          <w:szCs w:val="24"/>
          <w:lang w:val="pt-PT"/>
        </w:rPr>
        <w:t>.</w:t>
      </w:r>
    </w:p>
    <w:p w14:paraId="419AC630">
      <w:pPr>
        <w:numPr>
          <w:ilvl w:val="0"/>
          <w:numId w:val="4"/>
        </w:numPr>
        <w:jc w:val="both"/>
        <w:rPr>
          <w:rFonts w:ascii="Calibri" w:hAnsi="Calibri" w:eastAsia="Calibri" w:cs="Calibri"/>
          <w:spacing w:val="0"/>
          <w:sz w:val="24"/>
          <w:szCs w:val="24"/>
          <w:lang w:val="pt-PT"/>
        </w:rPr>
      </w:pPr>
      <w:r>
        <w:rPr>
          <w:rFonts w:ascii="Calibri" w:hAnsi="Calibri" w:eastAsia="Calibri" w:cs="Calibri"/>
          <w:spacing w:val="0"/>
          <w:sz w:val="24"/>
          <w:szCs w:val="24"/>
          <w:lang w:val="pt-PT"/>
        </w:rPr>
        <w:t>Esta EOI é composta pelos seguintes documentos:</w:t>
      </w:r>
    </w:p>
    <w:p w14:paraId="419AC631">
      <w:pPr>
        <w:pStyle w:val="31"/>
        <w:jc w:val="both"/>
        <w:rPr>
          <w:b/>
          <w:bCs/>
          <w:sz w:val="24"/>
          <w:szCs w:val="24"/>
        </w:rPr>
      </w:pPr>
      <w:r>
        <w:rPr>
          <w:sz w:val="24"/>
          <w:szCs w:val="24"/>
        </w:rPr>
        <w:t xml:space="preserve">O documento de Manifestação de Interesse </w:t>
      </w:r>
    </w:p>
    <w:p w14:paraId="419AC632">
      <w:pPr>
        <w:pStyle w:val="31"/>
        <w:jc w:val="both"/>
        <w:rPr>
          <w:b/>
          <w:sz w:val="24"/>
          <w:szCs w:val="24"/>
        </w:rPr>
      </w:pPr>
      <w:r>
        <w:rPr>
          <w:sz w:val="24"/>
          <w:szCs w:val="24"/>
        </w:rPr>
        <w:t>O documento de Resposta do Licitante (BRD)</w:t>
      </w:r>
    </w:p>
    <w:p w14:paraId="419AC633">
      <w:pPr>
        <w:ind w:left="1180"/>
        <w:jc w:val="both"/>
        <w:rPr>
          <w:rFonts w:ascii="Calibri" w:hAnsi="Calibri" w:cs="Calibri"/>
          <w:sz w:val="24"/>
          <w:szCs w:val="24"/>
          <w:lang w:val="pt-PT"/>
        </w:rPr>
      </w:pPr>
    </w:p>
    <w:p w14:paraId="419AC634">
      <w:pPr>
        <w:pStyle w:val="31"/>
        <w:jc w:val="both"/>
        <w:rPr>
          <w:rStyle w:val="37"/>
          <w:sz w:val="24"/>
          <w:szCs w:val="24"/>
          <w:lang w:val="pt-BR"/>
        </w:rPr>
      </w:pPr>
      <w:r>
        <w:rPr>
          <w:sz w:val="24"/>
          <w:szCs w:val="24"/>
        </w:rPr>
        <w:t>Os proponentes interessados deverão</w:t>
      </w:r>
      <w:r>
        <w:rPr>
          <w:rStyle w:val="37"/>
          <w:rFonts w:ascii="Calibri" w:hAnsi="Calibri" w:cs="Calibri"/>
          <w:sz w:val="24"/>
          <w:szCs w:val="24"/>
        </w:rPr>
        <w:t xml:space="preserve"> submeter propostas em formato digital à </w:t>
      </w:r>
      <w:r>
        <w:rPr>
          <w:sz w:val="24"/>
          <w:szCs w:val="24"/>
        </w:rPr>
        <w:fldChar w:fldCharType="begin"/>
      </w:r>
      <w:r>
        <w:rPr>
          <w:sz w:val="24"/>
          <w:szCs w:val="24"/>
        </w:rPr>
        <w:instrText xml:space="preserve"> HYPERLINK "mailto:tenders@malariaconsortium.org" </w:instrText>
      </w:r>
      <w:r>
        <w:rPr>
          <w:sz w:val="24"/>
          <w:szCs w:val="24"/>
        </w:rPr>
        <w:fldChar w:fldCharType="separate"/>
      </w:r>
      <w:r>
        <w:rPr>
          <w:rStyle w:val="22"/>
          <w:rFonts w:ascii="Calibri" w:hAnsi="Calibri" w:cs="Calibri"/>
          <w:color w:val="00B0F0"/>
          <w:sz w:val="24"/>
          <w:szCs w:val="24"/>
        </w:rPr>
        <w:t>tenders@malariaconsortium.org</w:t>
      </w:r>
      <w:r>
        <w:rPr>
          <w:rStyle w:val="22"/>
          <w:rFonts w:ascii="Calibri" w:hAnsi="Calibri" w:cs="Calibri"/>
          <w:color w:val="00B0F0"/>
          <w:sz w:val="24"/>
          <w:szCs w:val="24"/>
        </w:rPr>
        <w:fldChar w:fldCharType="end"/>
      </w:r>
      <w:r>
        <w:rPr>
          <w:rStyle w:val="37"/>
          <w:rFonts w:ascii="Calibri" w:hAnsi="Calibri" w:cs="Calibri"/>
          <w:sz w:val="24"/>
          <w:szCs w:val="24"/>
        </w:rPr>
        <w:t xml:space="preserve"> com a seguinte referência no assunto indicando o número de referência da categoria que pretende concorrer de acordo com a tabela </w:t>
      </w:r>
      <w:r>
        <w:rPr>
          <w:rStyle w:val="37"/>
          <w:rFonts w:hint="default" w:ascii="Calibri" w:hAnsi="Calibri" w:cs="Calibri"/>
          <w:b/>
          <w:bCs/>
          <w:sz w:val="24"/>
          <w:szCs w:val="24"/>
        </w:rPr>
        <w:t>"</w:t>
      </w:r>
      <w:r>
        <w:rPr>
          <w:rStyle w:val="37"/>
          <w:rFonts w:ascii="Calibri" w:hAnsi="Calibri" w:cs="Calibri"/>
          <w:b/>
          <w:bCs/>
          <w:sz w:val="24"/>
          <w:szCs w:val="24"/>
        </w:rPr>
        <w:t>A</w:t>
      </w:r>
      <w:r>
        <w:rPr>
          <w:rStyle w:val="37"/>
          <w:rFonts w:hint="default" w:ascii="Calibri" w:hAnsi="Calibri" w:cs="Calibri"/>
          <w:b/>
          <w:bCs/>
          <w:sz w:val="24"/>
          <w:szCs w:val="24"/>
        </w:rPr>
        <w:t>"</w:t>
      </w:r>
      <w:r>
        <w:rPr>
          <w:rStyle w:val="37"/>
          <w:rFonts w:hint="default" w:cs="Calibri"/>
          <w:b/>
          <w:bCs/>
          <w:sz w:val="24"/>
          <w:szCs w:val="24"/>
          <w:lang w:val="pt-PT"/>
        </w:rPr>
        <w:t>.</w:t>
      </w:r>
    </w:p>
    <w:p w14:paraId="419AC636">
      <w:pPr>
        <w:ind w:left="360"/>
        <w:jc w:val="both"/>
        <w:rPr>
          <w:rStyle w:val="37"/>
          <w:rFonts w:ascii="Calibri" w:hAnsi="Calibri" w:cs="Calibri"/>
          <w:sz w:val="24"/>
          <w:szCs w:val="24"/>
          <w:lang w:val="pt-PT"/>
        </w:rPr>
      </w:pPr>
    </w:p>
    <w:p w14:paraId="419AC637">
      <w:pPr>
        <w:pStyle w:val="31"/>
        <w:jc w:val="both"/>
        <w:rPr>
          <w:sz w:val="24"/>
          <w:szCs w:val="24"/>
        </w:rPr>
      </w:pPr>
      <w:r>
        <w:rPr>
          <w:sz w:val="24"/>
          <w:szCs w:val="24"/>
        </w:rPr>
        <w:t>Os licitantes interessados também   podem apresentar as propostas em formato físico, em envelopes lacrados claramente marcados com as respectivas referências para:</w:t>
      </w:r>
    </w:p>
    <w:p w14:paraId="419AC638">
      <w:pPr>
        <w:ind w:left="720"/>
        <w:jc w:val="both"/>
        <w:rPr>
          <w:rFonts w:ascii="Calibri" w:hAnsi="Calibri" w:cs="Calibri"/>
          <w:sz w:val="24"/>
          <w:szCs w:val="24"/>
          <w:lang w:val="pt-PT"/>
        </w:rPr>
      </w:pPr>
      <w:r>
        <w:rPr>
          <w:rFonts w:ascii="Calibri" w:hAnsi="Calibri" w:cs="Calibri"/>
          <w:sz w:val="24"/>
          <w:szCs w:val="24"/>
          <w:lang w:val="pt-PT"/>
        </w:rPr>
        <w:t>Malária Consortium Moçambique</w:t>
      </w:r>
    </w:p>
    <w:p w14:paraId="419AC639">
      <w:pPr>
        <w:ind w:left="720"/>
        <w:jc w:val="both"/>
        <w:rPr>
          <w:rFonts w:ascii="Calibri" w:hAnsi="Calibri" w:cs="Calibri"/>
          <w:sz w:val="24"/>
          <w:szCs w:val="24"/>
          <w:lang w:val="pt-PT"/>
        </w:rPr>
      </w:pPr>
      <w:r>
        <w:rPr>
          <w:rFonts w:ascii="Calibri" w:hAnsi="Calibri" w:cs="Calibri"/>
          <w:sz w:val="24"/>
          <w:szCs w:val="24"/>
          <w:lang w:val="pt-PT"/>
        </w:rPr>
        <w:t>Atenção: O Country Finance Manager</w:t>
      </w:r>
    </w:p>
    <w:p w14:paraId="419AC63A">
      <w:pPr>
        <w:ind w:left="720"/>
        <w:jc w:val="both"/>
        <w:rPr>
          <w:rFonts w:ascii="Calibri" w:hAnsi="Calibri" w:cs="Calibri"/>
          <w:sz w:val="24"/>
          <w:szCs w:val="24"/>
          <w:lang w:val="pt-PT"/>
        </w:rPr>
      </w:pPr>
      <w:r>
        <w:rPr>
          <w:rFonts w:ascii="Calibri" w:hAnsi="Calibri" w:cs="Calibri"/>
          <w:sz w:val="24"/>
          <w:szCs w:val="24"/>
          <w:lang w:val="pt-PT"/>
        </w:rPr>
        <w:t xml:space="preserve">Rua Lucas Elias Nkumato n.118 – </w:t>
      </w:r>
      <w:r>
        <w:rPr>
          <w:rFonts w:ascii="Calibri" w:hAnsi="Calibri" w:cs="Calibri"/>
          <w:b/>
          <w:bCs/>
          <w:sz w:val="24"/>
          <w:szCs w:val="24"/>
          <w:lang w:val="pt-PT"/>
        </w:rPr>
        <w:t>Maputo</w:t>
      </w:r>
    </w:p>
    <w:p w14:paraId="419AC63B">
      <w:pPr>
        <w:ind w:left="720"/>
        <w:jc w:val="both"/>
        <w:rPr>
          <w:rFonts w:ascii="Calibri" w:hAnsi="Calibri" w:cs="Calibri"/>
          <w:sz w:val="24"/>
          <w:szCs w:val="24"/>
          <w:highlight w:val="yellow"/>
          <w:lang w:val="pt-PT"/>
        </w:rPr>
      </w:pPr>
    </w:p>
    <w:p w14:paraId="419AC63C">
      <w:pPr>
        <w:ind w:left="720"/>
        <w:jc w:val="both"/>
        <w:rPr>
          <w:rFonts w:ascii="Calibri" w:hAnsi="Calibri" w:cs="Calibri"/>
          <w:sz w:val="24"/>
          <w:szCs w:val="24"/>
          <w:lang w:val="pt-PT"/>
        </w:rPr>
      </w:pPr>
      <w:r>
        <w:rPr>
          <w:rFonts w:ascii="Calibri" w:hAnsi="Calibri" w:cs="Calibri"/>
          <w:sz w:val="24"/>
          <w:szCs w:val="24"/>
          <w:lang w:val="pt-PT"/>
        </w:rPr>
        <w:t>Ou</w:t>
      </w:r>
    </w:p>
    <w:p w14:paraId="419AC641">
      <w:pPr>
        <w:ind w:left="0" w:leftChars="0" w:firstLine="720" w:firstLineChars="0"/>
        <w:jc w:val="both"/>
        <w:rPr>
          <w:rFonts w:ascii="Calibri" w:hAnsi="Calibri" w:cs="Calibri"/>
          <w:sz w:val="24"/>
          <w:szCs w:val="24"/>
          <w:lang w:val="pt-PT"/>
        </w:rPr>
      </w:pPr>
      <w:r>
        <w:rPr>
          <w:rFonts w:ascii="Calibri" w:hAnsi="Calibri" w:cs="Calibri"/>
          <w:sz w:val="24"/>
          <w:szCs w:val="24"/>
          <w:lang w:val="pt-PT"/>
        </w:rPr>
        <w:t>Avenida Eduardo Mondlane, Edifício Milénio Center,</w:t>
      </w:r>
      <w:r>
        <w:rPr>
          <w:rFonts w:hint="default" w:ascii="Calibri" w:hAnsi="Calibri" w:cs="Calibri"/>
          <w:sz w:val="24"/>
          <w:szCs w:val="24"/>
          <w:lang w:val="pt-PT"/>
        </w:rPr>
        <w:t xml:space="preserve"> </w:t>
      </w:r>
      <w:r>
        <w:rPr>
          <w:rFonts w:ascii="Calibri" w:hAnsi="Calibri" w:cs="Calibri"/>
          <w:sz w:val="24"/>
          <w:szCs w:val="24"/>
          <w:lang w:val="pt-PT"/>
        </w:rPr>
        <w:t>2</w:t>
      </w:r>
      <w:r>
        <w:rPr>
          <w:rFonts w:hint="default" w:ascii="Calibri" w:hAnsi="Calibri" w:cs="Calibri"/>
          <w:sz w:val="24"/>
          <w:szCs w:val="24"/>
          <w:lang w:val="pt-PT"/>
        </w:rPr>
        <w:t>º</w:t>
      </w:r>
      <w:r>
        <w:rPr>
          <w:rFonts w:ascii="Calibri" w:hAnsi="Calibri" w:cs="Calibri"/>
          <w:sz w:val="24"/>
          <w:szCs w:val="24"/>
          <w:lang w:val="pt-PT"/>
        </w:rPr>
        <w:t xml:space="preserve"> Andar, Porta</w:t>
      </w:r>
      <w:r>
        <w:rPr>
          <w:rFonts w:hint="default" w:ascii="Calibri" w:hAnsi="Calibri" w:cs="Calibri"/>
          <w:sz w:val="24"/>
          <w:szCs w:val="24"/>
          <w:lang w:val="pt-PT"/>
        </w:rPr>
        <w:t xml:space="preserve"> nº</w:t>
      </w:r>
      <w:r>
        <w:rPr>
          <w:rFonts w:ascii="Calibri" w:hAnsi="Calibri" w:cs="Calibri"/>
          <w:sz w:val="24"/>
          <w:szCs w:val="24"/>
          <w:lang w:val="pt-PT"/>
        </w:rPr>
        <w:t xml:space="preserve"> </w:t>
      </w:r>
      <w:r>
        <w:rPr>
          <w:rFonts w:hint="default" w:ascii="Calibri" w:hAnsi="Calibri" w:cs="Calibri"/>
          <w:sz w:val="24"/>
          <w:szCs w:val="24"/>
          <w:lang w:val="pt-PT"/>
        </w:rPr>
        <w:t xml:space="preserve">08 - </w:t>
      </w:r>
      <w:r>
        <w:rPr>
          <w:rFonts w:ascii="Calibri" w:hAnsi="Calibri" w:cs="Calibri"/>
          <w:sz w:val="24"/>
          <w:szCs w:val="24"/>
          <w:lang w:val="pt-PT"/>
        </w:rPr>
        <w:t>Cidade de Nampula.</w:t>
      </w:r>
    </w:p>
    <w:p w14:paraId="149CC091">
      <w:pPr>
        <w:ind w:left="720"/>
        <w:jc w:val="both"/>
        <w:rPr>
          <w:rFonts w:ascii="Calibri" w:hAnsi="Calibri" w:cs="Calibri"/>
          <w:sz w:val="24"/>
          <w:szCs w:val="24"/>
          <w:lang w:val="pt-PT"/>
        </w:rPr>
      </w:pPr>
    </w:p>
    <w:p w14:paraId="419AC642">
      <w:pPr>
        <w:numPr>
          <w:ilvl w:val="0"/>
          <w:numId w:val="4"/>
        </w:numPr>
        <w:jc w:val="both"/>
        <w:rPr>
          <w:rFonts w:ascii="Calibri" w:hAnsi="Calibri" w:cs="Calibri"/>
          <w:sz w:val="24"/>
          <w:szCs w:val="24"/>
          <w:lang w:val="pt-PT"/>
        </w:rPr>
      </w:pPr>
      <w:r>
        <w:rPr>
          <w:rFonts w:ascii="Calibri" w:hAnsi="Calibri" w:eastAsia="Calibri" w:cs="Calibri"/>
          <w:spacing w:val="0"/>
          <w:sz w:val="24"/>
          <w:szCs w:val="24"/>
          <w:lang w:val="pt-PT"/>
        </w:rPr>
        <w:t xml:space="preserve">As propostas devem ser enviadas até </w:t>
      </w:r>
      <w:r>
        <w:rPr>
          <w:rFonts w:hint="default" w:ascii="Calibri" w:hAnsi="Calibri" w:cs="Calibri"/>
          <w:b/>
          <w:bCs/>
          <w:sz w:val="24"/>
          <w:szCs w:val="24"/>
          <w:highlight w:val="none"/>
          <w:lang w:val="pt-PT"/>
        </w:rPr>
        <w:t>Quinta</w:t>
      </w:r>
      <w:r>
        <w:rPr>
          <w:rFonts w:ascii="Calibri" w:hAnsi="Calibri" w:cs="Calibri"/>
          <w:b/>
          <w:bCs/>
          <w:sz w:val="24"/>
          <w:szCs w:val="24"/>
          <w:highlight w:val="none"/>
          <w:lang w:val="pt-PT"/>
        </w:rPr>
        <w:t xml:space="preserve">-feira, </w:t>
      </w:r>
      <w:r>
        <w:rPr>
          <w:rFonts w:hint="default" w:ascii="Calibri" w:hAnsi="Calibri" w:cs="Calibri"/>
          <w:b/>
          <w:bCs/>
          <w:sz w:val="24"/>
          <w:szCs w:val="24"/>
          <w:highlight w:val="none"/>
          <w:lang w:val="pt-PT"/>
        </w:rPr>
        <w:t xml:space="preserve">18 de Setembro de  </w:t>
      </w:r>
      <w:r>
        <w:rPr>
          <w:rFonts w:ascii="Calibri" w:hAnsi="Calibri" w:cs="Calibri"/>
          <w:b/>
          <w:bCs/>
          <w:sz w:val="24"/>
          <w:szCs w:val="24"/>
          <w:highlight w:val="none"/>
          <w:lang w:val="pt-PT"/>
        </w:rPr>
        <w:t>2025 – 1</w:t>
      </w:r>
      <w:r>
        <w:rPr>
          <w:rFonts w:hint="default" w:ascii="Calibri" w:hAnsi="Calibri" w:cs="Calibri"/>
          <w:b/>
          <w:bCs/>
          <w:sz w:val="24"/>
          <w:szCs w:val="24"/>
          <w:highlight w:val="none"/>
          <w:lang w:val="pt-PT"/>
        </w:rPr>
        <w:t>6</w:t>
      </w:r>
      <w:r>
        <w:rPr>
          <w:rFonts w:ascii="Calibri" w:hAnsi="Calibri" w:cs="Calibri"/>
          <w:b/>
          <w:bCs/>
          <w:sz w:val="24"/>
          <w:szCs w:val="24"/>
          <w:highlight w:val="none"/>
          <w:lang w:val="pt-PT"/>
        </w:rPr>
        <w:t>h30.</w:t>
      </w:r>
      <w:r>
        <w:rPr>
          <w:rFonts w:ascii="Calibri" w:hAnsi="Calibri" w:cs="Calibri"/>
          <w:b/>
          <w:bCs/>
          <w:sz w:val="24"/>
          <w:szCs w:val="24"/>
          <w:lang w:val="pt-PT"/>
        </w:rPr>
        <w:t xml:space="preserve"> </w:t>
      </w:r>
      <w:r>
        <w:rPr>
          <w:rFonts w:ascii="Calibri" w:hAnsi="Calibri" w:cs="Calibri"/>
          <w:sz w:val="24"/>
          <w:szCs w:val="24"/>
          <w:lang w:val="pt-PT"/>
        </w:rPr>
        <w:t xml:space="preserve">As propostas apresentadas fora do prazo </w:t>
      </w:r>
      <w:r>
        <w:rPr>
          <w:rFonts w:ascii="Calibri" w:hAnsi="Calibri" w:cs="Calibri"/>
          <w:b/>
          <w:sz w:val="24"/>
          <w:szCs w:val="24"/>
          <w:lang w:val="pt-PT"/>
        </w:rPr>
        <w:t xml:space="preserve">NÃO </w:t>
      </w:r>
      <w:r>
        <w:rPr>
          <w:rFonts w:ascii="Calibri" w:hAnsi="Calibri" w:cs="Calibri"/>
          <w:sz w:val="24"/>
          <w:szCs w:val="24"/>
          <w:lang w:val="pt-PT"/>
        </w:rPr>
        <w:t>serão aceites.</w:t>
      </w:r>
    </w:p>
    <w:p w14:paraId="419AC643">
      <w:pPr>
        <w:ind w:left="360"/>
        <w:jc w:val="both"/>
        <w:rPr>
          <w:rFonts w:ascii="Calibri" w:hAnsi="Calibri" w:cs="Calibri"/>
          <w:sz w:val="24"/>
          <w:szCs w:val="24"/>
          <w:lang w:val="pt-PT"/>
        </w:rPr>
      </w:pPr>
    </w:p>
    <w:p w14:paraId="419AC644">
      <w:pPr>
        <w:numPr>
          <w:ilvl w:val="0"/>
          <w:numId w:val="4"/>
        </w:numPr>
        <w:jc w:val="both"/>
        <w:rPr>
          <w:rFonts w:ascii="Calibri" w:hAnsi="Calibri" w:cs="Calibri"/>
          <w:sz w:val="24"/>
          <w:szCs w:val="24"/>
          <w:lang w:val="pt-PT"/>
        </w:rPr>
      </w:pPr>
      <w:r>
        <w:rPr>
          <w:rFonts w:ascii="Calibri" w:hAnsi="Calibri" w:eastAsia="Calibri" w:cs="Calibri"/>
          <w:spacing w:val="0"/>
          <w:sz w:val="24"/>
          <w:szCs w:val="24"/>
          <w:lang w:val="pt-PT"/>
        </w:rPr>
        <w:t xml:space="preserve">Dúvidas, se houver, devem ser enviadas por e-mail para </w:t>
      </w:r>
      <w:r>
        <w:rPr>
          <w:rFonts w:ascii="Calibri" w:hAnsi="Calibri" w:cs="Calibri"/>
          <w:sz w:val="24"/>
          <w:szCs w:val="24"/>
        </w:rPr>
        <w:fldChar w:fldCharType="begin"/>
      </w:r>
      <w:r>
        <w:rPr>
          <w:rFonts w:ascii="Calibri" w:hAnsi="Calibri" w:cs="Calibri"/>
          <w:sz w:val="24"/>
          <w:szCs w:val="24"/>
          <w:lang w:val="pt-BR"/>
        </w:rPr>
        <w:instrText xml:space="preserve"> HYPERLINK "mailto:tenders@malariaconsortium.org" </w:instrText>
      </w:r>
      <w:r>
        <w:rPr>
          <w:rFonts w:ascii="Calibri" w:hAnsi="Calibri" w:cs="Calibri"/>
          <w:sz w:val="24"/>
          <w:szCs w:val="24"/>
        </w:rPr>
        <w:fldChar w:fldCharType="separate"/>
      </w:r>
      <w:r>
        <w:rPr>
          <w:rStyle w:val="22"/>
          <w:rFonts w:ascii="Calibri" w:hAnsi="Calibri" w:eastAsia="Calibri" w:cs="Calibri"/>
          <w:color w:val="00B0F0"/>
          <w:spacing w:val="0"/>
          <w:sz w:val="24"/>
          <w:szCs w:val="24"/>
          <w:lang w:val="pt-PT"/>
        </w:rPr>
        <w:t>tenders@malariaconsortium.org</w:t>
      </w:r>
      <w:r>
        <w:rPr>
          <w:rStyle w:val="22"/>
          <w:rFonts w:ascii="Calibri" w:hAnsi="Calibri" w:eastAsia="Calibri" w:cs="Calibri"/>
          <w:color w:val="00B0F0"/>
          <w:spacing w:val="0"/>
          <w:sz w:val="24"/>
          <w:szCs w:val="24"/>
          <w:lang w:val="pt-PT"/>
        </w:rPr>
        <w:fldChar w:fldCharType="end"/>
      </w:r>
      <w:r>
        <w:rPr>
          <w:rFonts w:ascii="Calibri" w:hAnsi="Calibri" w:eastAsia="Calibri" w:cs="Calibri"/>
          <w:spacing w:val="0"/>
          <w:sz w:val="24"/>
          <w:szCs w:val="24"/>
          <w:lang w:val="pt-PT"/>
        </w:rPr>
        <w:t xml:space="preserve"> até </w:t>
      </w:r>
      <w:r>
        <w:rPr>
          <w:rFonts w:ascii="Calibri" w:hAnsi="Calibri" w:eastAsia="Calibri" w:cs="Calibri"/>
          <w:b/>
          <w:bCs/>
          <w:spacing w:val="0"/>
          <w:sz w:val="24"/>
          <w:szCs w:val="24"/>
          <w:highlight w:val="none"/>
          <w:lang w:val="pt-PT"/>
        </w:rPr>
        <w:t>Quarta-</w:t>
      </w:r>
      <w:r>
        <w:rPr>
          <w:rFonts w:ascii="Calibri" w:hAnsi="Calibri" w:eastAsia="Calibri" w:cs="Calibri"/>
          <w:b/>
          <w:spacing w:val="0"/>
          <w:sz w:val="24"/>
          <w:szCs w:val="24"/>
          <w:highlight w:val="none"/>
          <w:lang w:val="pt-PT"/>
        </w:rPr>
        <w:t>feira,</w:t>
      </w:r>
      <w:r>
        <w:rPr>
          <w:rFonts w:hint="default" w:ascii="Calibri" w:hAnsi="Calibri" w:eastAsia="Calibri" w:cs="Calibri"/>
          <w:b/>
          <w:spacing w:val="0"/>
          <w:sz w:val="24"/>
          <w:szCs w:val="24"/>
          <w:highlight w:val="none"/>
          <w:lang w:val="pt-PT"/>
        </w:rPr>
        <w:t xml:space="preserve"> 10 </w:t>
      </w:r>
      <w:r>
        <w:rPr>
          <w:rFonts w:ascii="Calibri" w:hAnsi="Calibri" w:eastAsia="Calibri" w:cs="Calibri"/>
          <w:b/>
          <w:spacing w:val="0"/>
          <w:sz w:val="24"/>
          <w:szCs w:val="24"/>
          <w:highlight w:val="none"/>
          <w:lang w:val="pt-PT"/>
        </w:rPr>
        <w:t xml:space="preserve">de </w:t>
      </w:r>
      <w:r>
        <w:rPr>
          <w:rFonts w:hint="default" w:ascii="Calibri" w:hAnsi="Calibri" w:eastAsia="Calibri" w:cs="Calibri"/>
          <w:b/>
          <w:spacing w:val="0"/>
          <w:sz w:val="24"/>
          <w:szCs w:val="24"/>
          <w:highlight w:val="none"/>
          <w:lang w:val="pt-PT"/>
        </w:rPr>
        <w:t>Setembro</w:t>
      </w:r>
      <w:r>
        <w:rPr>
          <w:rFonts w:ascii="Calibri" w:hAnsi="Calibri" w:eastAsia="Calibri" w:cs="Calibri"/>
          <w:b/>
          <w:spacing w:val="0"/>
          <w:sz w:val="24"/>
          <w:szCs w:val="24"/>
          <w:highlight w:val="none"/>
          <w:lang w:val="pt-PT"/>
        </w:rPr>
        <w:t xml:space="preserve"> de 2025, </w:t>
      </w:r>
      <w:r>
        <w:rPr>
          <w:rFonts w:ascii="Calibri" w:hAnsi="Calibri" w:eastAsia="Calibri" w:cs="Calibri"/>
          <w:spacing w:val="0"/>
          <w:sz w:val="24"/>
          <w:szCs w:val="24"/>
          <w:lang w:val="pt-PT"/>
        </w:rPr>
        <w:t>com a referência de e-mail no assunto:</w:t>
      </w:r>
      <w:r>
        <w:rPr>
          <w:rFonts w:hint="default" w:ascii="Calibri" w:hAnsi="Calibri" w:eastAsia="Calibri" w:cs="Calibri"/>
          <w:spacing w:val="0"/>
          <w:sz w:val="24"/>
          <w:szCs w:val="24"/>
          <w:lang w:val="pt-PT"/>
        </w:rPr>
        <w:t xml:space="preserve"> </w:t>
      </w:r>
      <w:r>
        <w:rPr>
          <w:rFonts w:ascii="Calibri" w:hAnsi="Calibri" w:eastAsia="Calibri" w:cs="Calibri"/>
          <w:bCs/>
          <w:spacing w:val="0"/>
          <w:sz w:val="24"/>
          <w:szCs w:val="24"/>
          <w:lang w:val="pt-PT"/>
        </w:rPr>
        <w:t xml:space="preserve">sobre atenção de </w:t>
      </w:r>
      <w:r>
        <w:rPr>
          <w:rFonts w:ascii="Calibri" w:hAnsi="Calibri" w:eastAsia="Calibri" w:cs="Calibri"/>
          <w:b/>
          <w:spacing w:val="0"/>
          <w:sz w:val="24"/>
          <w:szCs w:val="24"/>
          <w:lang w:val="pt-PT"/>
        </w:rPr>
        <w:t>Noémia Luis ou Andrew Mtaia.</w:t>
      </w:r>
    </w:p>
    <w:p w14:paraId="419AC645">
      <w:pPr>
        <w:ind w:left="0"/>
        <w:jc w:val="both"/>
        <w:rPr>
          <w:rFonts w:ascii="Calibri" w:hAnsi="Calibri" w:cs="Calibri"/>
          <w:sz w:val="24"/>
          <w:szCs w:val="24"/>
          <w:lang w:val="pt-PT"/>
        </w:rPr>
      </w:pPr>
    </w:p>
    <w:p w14:paraId="419AC646">
      <w:pPr>
        <w:numPr>
          <w:ilvl w:val="0"/>
          <w:numId w:val="4"/>
        </w:numPr>
        <w:jc w:val="both"/>
        <w:rPr>
          <w:rFonts w:ascii="Calibri" w:hAnsi="Calibri" w:cs="Calibri"/>
          <w:sz w:val="24"/>
          <w:szCs w:val="24"/>
          <w:lang w:val="pt-PT"/>
        </w:rPr>
      </w:pPr>
      <w:r>
        <w:rPr>
          <w:rFonts w:ascii="Calibri" w:hAnsi="Calibri" w:eastAsia="Calibri" w:cs="Calibri"/>
          <w:spacing w:val="0"/>
          <w:sz w:val="24"/>
          <w:szCs w:val="24"/>
          <w:lang w:val="pt-PT"/>
        </w:rPr>
        <w:t>A Malária Consortium notificará por escrito os proponentes vencedores. A Malária Consortium não tem qualquer obrigação de partilhar a identidade, proposta ou termos contratuais do fornecedor vencedor.</w:t>
      </w:r>
    </w:p>
    <w:p w14:paraId="419AC647">
      <w:pPr>
        <w:ind w:left="0"/>
        <w:jc w:val="both"/>
        <w:rPr>
          <w:rFonts w:ascii="Calibri" w:hAnsi="Calibri" w:cs="Calibri"/>
          <w:sz w:val="24"/>
          <w:szCs w:val="24"/>
          <w:lang w:val="pt-PT"/>
        </w:rPr>
      </w:pPr>
    </w:p>
    <w:p w14:paraId="419AC648">
      <w:pPr>
        <w:numPr>
          <w:ilvl w:val="0"/>
          <w:numId w:val="4"/>
        </w:numPr>
        <w:jc w:val="both"/>
        <w:rPr>
          <w:rFonts w:ascii="Calibri" w:hAnsi="Calibri" w:cs="Calibri"/>
          <w:sz w:val="24"/>
          <w:szCs w:val="24"/>
          <w:lang w:val="pt-PT"/>
        </w:rPr>
      </w:pPr>
      <w:r>
        <w:rPr>
          <w:rFonts w:ascii="Calibri" w:hAnsi="Calibri" w:eastAsia="Calibri" w:cs="Calibri"/>
          <w:spacing w:val="0"/>
          <w:sz w:val="24"/>
          <w:szCs w:val="24"/>
          <w:lang w:val="pt-PT"/>
        </w:rPr>
        <w:t>A proposta apresentada deve incluir as seguintes informações: O não fornecimento de todas as informações solicitadas ou o não cumprimento dos formatos especificados desqualificarão o licitante da consideração:</w:t>
      </w:r>
    </w:p>
    <w:p w14:paraId="419AC649">
      <w:pPr>
        <w:ind w:left="0"/>
        <w:jc w:val="both"/>
        <w:rPr>
          <w:rFonts w:ascii="Calibri" w:hAnsi="Calibri" w:cs="Calibri"/>
          <w:sz w:val="24"/>
          <w:szCs w:val="24"/>
          <w:lang w:val="pt-PT"/>
        </w:rPr>
      </w:pPr>
    </w:p>
    <w:p w14:paraId="419AC64A">
      <w:pPr>
        <w:numPr>
          <w:ilvl w:val="0"/>
          <w:numId w:val="5"/>
        </w:numPr>
        <w:jc w:val="both"/>
        <w:rPr>
          <w:rFonts w:ascii="Calibri" w:hAnsi="Calibri" w:eastAsia="Calibri" w:cs="Calibri"/>
          <w:spacing w:val="0"/>
          <w:sz w:val="24"/>
          <w:szCs w:val="24"/>
          <w:lang w:val="pt-PT"/>
        </w:rPr>
      </w:pPr>
      <w:r>
        <w:rPr>
          <w:rFonts w:ascii="Calibri" w:hAnsi="Calibri" w:eastAsia="Calibri" w:cs="Calibri"/>
          <w:spacing w:val="0"/>
          <w:sz w:val="24"/>
          <w:szCs w:val="24"/>
          <w:lang w:val="pt-PT"/>
        </w:rPr>
        <w:t xml:space="preserve">Assinatura para confirmar o comprometimento com as Políticas da Malária Consortium que estão descritas abaixo deste documento nas páginas </w:t>
      </w:r>
      <w:r>
        <w:rPr>
          <w:rFonts w:ascii="Calibri" w:hAnsi="Calibri" w:eastAsia="Calibri" w:cs="Calibri"/>
          <w:b/>
          <w:bCs/>
          <w:spacing w:val="0"/>
          <w:sz w:val="24"/>
          <w:szCs w:val="24"/>
          <w:lang w:val="pt-PT"/>
        </w:rPr>
        <w:t>(</w:t>
      </w:r>
      <w:r>
        <w:rPr>
          <w:rFonts w:hint="default" w:ascii="Calibri" w:hAnsi="Calibri" w:eastAsia="Calibri" w:cs="Calibri"/>
          <w:b/>
          <w:bCs/>
          <w:spacing w:val="0"/>
          <w:sz w:val="24"/>
          <w:szCs w:val="24"/>
          <w:lang w:val="pt-PT"/>
        </w:rPr>
        <w:t>6</w:t>
      </w:r>
      <w:r>
        <w:rPr>
          <w:rFonts w:ascii="Calibri" w:hAnsi="Calibri" w:eastAsia="Calibri" w:cs="Calibri"/>
          <w:b/>
          <w:bCs/>
          <w:spacing w:val="0"/>
          <w:sz w:val="24"/>
          <w:szCs w:val="24"/>
          <w:lang w:val="pt-PT"/>
        </w:rPr>
        <w:t>-1</w:t>
      </w:r>
      <w:r>
        <w:rPr>
          <w:rFonts w:hint="default" w:ascii="Calibri" w:hAnsi="Calibri" w:eastAsia="Calibri" w:cs="Calibri"/>
          <w:b/>
          <w:bCs/>
          <w:spacing w:val="0"/>
          <w:sz w:val="24"/>
          <w:szCs w:val="24"/>
          <w:lang w:val="pt-PT"/>
        </w:rPr>
        <w:t>9</w:t>
      </w:r>
      <w:r>
        <w:rPr>
          <w:rFonts w:ascii="Calibri" w:hAnsi="Calibri" w:eastAsia="Calibri" w:cs="Calibri"/>
          <w:b/>
          <w:bCs/>
          <w:spacing w:val="0"/>
          <w:sz w:val="24"/>
          <w:szCs w:val="24"/>
          <w:lang w:val="pt-PT"/>
        </w:rPr>
        <w:t>) ‘’</w:t>
      </w:r>
      <w:r>
        <w:rPr>
          <w:rFonts w:ascii="Calibri" w:hAnsi="Calibri" w:cs="Calibri"/>
          <w:b/>
          <w:bCs/>
          <w:color w:val="222222"/>
          <w:sz w:val="24"/>
          <w:szCs w:val="24"/>
          <w:shd w:val="clear" w:color="auto" w:fill="FFFFFF"/>
          <w:lang w:val="pt-PT"/>
        </w:rPr>
        <w:t xml:space="preserve"> </w:t>
      </w:r>
      <w:r>
        <w:rPr>
          <w:rFonts w:hint="default" w:ascii="Calibri" w:hAnsi="Calibri" w:eastAsia="Calibri" w:cs="Calibri"/>
          <w:b/>
          <w:bCs/>
          <w:spacing w:val="0"/>
          <w:sz w:val="24"/>
          <w:szCs w:val="24"/>
          <w:lang w:val="pt-PT"/>
        </w:rPr>
        <w:t>O fornecedor</w:t>
      </w:r>
      <w:r>
        <w:rPr>
          <w:rFonts w:ascii="Calibri" w:hAnsi="Calibri" w:eastAsia="Calibri" w:cs="Calibri"/>
          <w:b/>
          <w:bCs/>
          <w:spacing w:val="0"/>
          <w:sz w:val="24"/>
          <w:szCs w:val="24"/>
          <w:lang w:val="pt-PT"/>
        </w:rPr>
        <w:t xml:space="preserve"> deve assinar e carimbar’’</w:t>
      </w:r>
      <w:r>
        <w:rPr>
          <w:rFonts w:ascii="Calibri" w:hAnsi="Calibri" w:eastAsia="Calibri" w:cs="Calibri"/>
          <w:spacing w:val="0"/>
          <w:sz w:val="24"/>
          <w:szCs w:val="24"/>
          <w:lang w:val="pt-PT"/>
        </w:rPr>
        <w:t>.</w:t>
      </w:r>
    </w:p>
    <w:p w14:paraId="419AC64B">
      <w:pPr>
        <w:numPr>
          <w:ilvl w:val="0"/>
          <w:numId w:val="5"/>
        </w:numPr>
        <w:jc w:val="both"/>
        <w:rPr>
          <w:rFonts w:ascii="Calibri" w:hAnsi="Calibri" w:eastAsia="Calibri" w:cs="Calibri"/>
          <w:spacing w:val="0"/>
          <w:sz w:val="24"/>
          <w:szCs w:val="24"/>
          <w:lang w:val="pt-PT"/>
        </w:rPr>
      </w:pPr>
      <w:r>
        <w:rPr>
          <w:rFonts w:ascii="Calibri" w:hAnsi="Calibri" w:eastAsia="Calibri" w:cs="Calibri"/>
          <w:spacing w:val="0"/>
          <w:sz w:val="24"/>
          <w:szCs w:val="24"/>
          <w:lang w:val="pt-PT"/>
        </w:rPr>
        <w:t>Responder as questões do formulário de resposta dos fornecedores (BRD) em anexo a este EOI.</w:t>
      </w:r>
    </w:p>
    <w:p w14:paraId="419AC64C">
      <w:pPr>
        <w:numPr>
          <w:ilvl w:val="0"/>
          <w:numId w:val="5"/>
        </w:numPr>
        <w:jc w:val="both"/>
        <w:rPr>
          <w:rFonts w:ascii="Calibri" w:hAnsi="Calibri" w:eastAsia="Calibri" w:cs="Calibri"/>
          <w:spacing w:val="0"/>
          <w:sz w:val="24"/>
          <w:szCs w:val="24"/>
          <w:lang w:val="pt-PT"/>
        </w:rPr>
      </w:pPr>
      <w:r>
        <w:rPr>
          <w:rFonts w:ascii="Calibri" w:hAnsi="Calibri" w:eastAsia="Calibri" w:cs="Calibri"/>
          <w:spacing w:val="0"/>
          <w:sz w:val="24"/>
          <w:szCs w:val="24"/>
          <w:lang w:val="pt-PT"/>
        </w:rPr>
        <w:t>Cópia dos documentos de registo comercial (prova de funcionamento legal no país de constituição).</w:t>
      </w:r>
    </w:p>
    <w:p w14:paraId="419AC64D">
      <w:pPr>
        <w:ind w:left="0"/>
        <w:jc w:val="both"/>
        <w:rPr>
          <w:rFonts w:ascii="Calibri" w:hAnsi="Calibri" w:eastAsia="Calibri" w:cs="Calibri"/>
          <w:spacing w:val="0"/>
          <w:sz w:val="24"/>
          <w:szCs w:val="24"/>
          <w:lang w:val="pt-PT"/>
        </w:rPr>
      </w:pPr>
    </w:p>
    <w:p w14:paraId="419AC64E">
      <w:pPr>
        <w:numPr>
          <w:ilvl w:val="0"/>
          <w:numId w:val="4"/>
        </w:numPr>
        <w:jc w:val="both"/>
        <w:rPr>
          <w:rFonts w:ascii="Calibri" w:hAnsi="Calibri" w:cs="Calibri"/>
          <w:sz w:val="24"/>
          <w:szCs w:val="24"/>
          <w:lang w:val="pt-PT"/>
        </w:rPr>
      </w:pPr>
      <w:r>
        <w:rPr>
          <w:rFonts w:ascii="Calibri" w:hAnsi="Calibri" w:eastAsia="Calibri" w:cs="Calibri"/>
          <w:spacing w:val="0"/>
          <w:sz w:val="24"/>
          <w:szCs w:val="24"/>
          <w:lang w:val="pt-PT"/>
        </w:rPr>
        <w:t>A Malária Consortium reserva-s</w:t>
      </w:r>
      <w:r>
        <w:rPr>
          <w:rFonts w:hint="default" w:ascii="Calibri" w:hAnsi="Calibri" w:eastAsia="Calibri" w:cs="Calibri"/>
          <w:spacing w:val="0"/>
          <w:sz w:val="24"/>
          <w:szCs w:val="24"/>
          <w:lang w:val="pt-PT"/>
        </w:rPr>
        <w:t xml:space="preserve">e </w:t>
      </w:r>
      <w:r>
        <w:rPr>
          <w:rFonts w:ascii="Calibri" w:hAnsi="Calibri" w:eastAsia="Calibri" w:cs="Calibri"/>
          <w:spacing w:val="0"/>
          <w:sz w:val="24"/>
          <w:szCs w:val="24"/>
          <w:lang w:val="pt-PT"/>
        </w:rPr>
        <w:t xml:space="preserve">o direito de aceitar ou rejeitar qualquer ou todas as propostas, e de aceitar a proposta considerada do </w:t>
      </w:r>
      <w:r>
        <w:rPr>
          <w:rFonts w:hint="default" w:ascii="Calibri" w:hAnsi="Calibri" w:eastAsia="Calibri" w:cs="Calibri"/>
          <w:spacing w:val="0"/>
          <w:sz w:val="24"/>
          <w:szCs w:val="24"/>
          <w:lang w:val="pt-PT"/>
        </w:rPr>
        <w:t xml:space="preserve">seu </w:t>
      </w:r>
      <w:r>
        <w:rPr>
          <w:rFonts w:ascii="Calibri" w:hAnsi="Calibri" w:eastAsia="Calibri" w:cs="Calibri"/>
          <w:spacing w:val="0"/>
          <w:sz w:val="24"/>
          <w:szCs w:val="24"/>
          <w:lang w:val="pt-PT"/>
        </w:rPr>
        <w:t>melhor interesse</w:t>
      </w:r>
      <w:r>
        <w:rPr>
          <w:rFonts w:hint="default" w:ascii="Calibri" w:hAnsi="Calibri" w:eastAsia="Calibri" w:cs="Calibri"/>
          <w:spacing w:val="0"/>
          <w:sz w:val="24"/>
          <w:szCs w:val="24"/>
          <w:lang w:val="pt-PT"/>
        </w:rPr>
        <w:t>.</w:t>
      </w:r>
      <w:r>
        <w:rPr>
          <w:rFonts w:ascii="Calibri" w:hAnsi="Calibri" w:eastAsia="Calibri" w:cs="Calibri"/>
          <w:spacing w:val="0"/>
          <w:sz w:val="24"/>
          <w:szCs w:val="24"/>
          <w:lang w:val="pt-PT"/>
        </w:rPr>
        <w:t xml:space="preserve"> </w:t>
      </w:r>
    </w:p>
    <w:p w14:paraId="419AC64F">
      <w:pPr>
        <w:ind w:left="360"/>
        <w:jc w:val="both"/>
        <w:rPr>
          <w:rFonts w:ascii="Calibri" w:hAnsi="Calibri" w:cs="Calibri"/>
          <w:sz w:val="24"/>
          <w:szCs w:val="24"/>
          <w:lang w:val="pt-PT"/>
        </w:rPr>
      </w:pPr>
    </w:p>
    <w:p w14:paraId="419AC650">
      <w:pPr>
        <w:numPr>
          <w:ilvl w:val="0"/>
          <w:numId w:val="4"/>
        </w:numPr>
        <w:jc w:val="both"/>
        <w:rPr>
          <w:rFonts w:ascii="Calibri" w:hAnsi="Calibri" w:cs="Calibri"/>
          <w:sz w:val="24"/>
          <w:szCs w:val="24"/>
          <w:lang w:val="pt-PT"/>
        </w:rPr>
      </w:pPr>
      <w:r>
        <w:rPr>
          <w:rFonts w:ascii="Calibri" w:hAnsi="Calibri" w:eastAsia="Calibri" w:cs="Calibri"/>
          <w:spacing w:val="0"/>
          <w:sz w:val="24"/>
          <w:szCs w:val="24"/>
          <w:lang w:val="pt-PT"/>
        </w:rPr>
        <w:t xml:space="preserve"> A Malária Consortium reserva-se ao direito de adjudicar contratos a vários fornecedores se tal for considerado do seu melhor interesse.</w:t>
      </w:r>
    </w:p>
    <w:p w14:paraId="419AC651">
      <w:pPr>
        <w:ind w:left="0"/>
        <w:jc w:val="both"/>
        <w:rPr>
          <w:rFonts w:ascii="Calibri" w:hAnsi="Calibri" w:cs="Calibri"/>
          <w:sz w:val="24"/>
          <w:szCs w:val="24"/>
          <w:lang w:val="pt-PT"/>
        </w:rPr>
      </w:pPr>
    </w:p>
    <w:p w14:paraId="419AC652">
      <w:pPr>
        <w:numPr>
          <w:ilvl w:val="0"/>
          <w:numId w:val="4"/>
        </w:numPr>
        <w:jc w:val="both"/>
        <w:rPr>
          <w:rFonts w:ascii="Calibri" w:hAnsi="Calibri" w:cs="Calibri"/>
          <w:sz w:val="24"/>
          <w:szCs w:val="24"/>
          <w:lang w:val="pt-PT"/>
        </w:rPr>
      </w:pPr>
      <w:r>
        <w:rPr>
          <w:rFonts w:ascii="Calibri" w:hAnsi="Calibri" w:eastAsia="Calibri" w:cs="Calibri"/>
          <w:spacing w:val="0"/>
          <w:sz w:val="24"/>
          <w:szCs w:val="24"/>
          <w:lang w:val="pt-PT"/>
        </w:rPr>
        <w:t xml:space="preserve">Os critérios de atribuição devem basear-se na resposta global da proposta e na relação custo-benefício, tendo simultaneamente em conta os requisitos e regulamentos internos e aplicáveis aos doadores. O </w:t>
      </w:r>
      <w:r>
        <w:rPr>
          <w:rFonts w:hint="default" w:ascii="Calibri" w:hAnsi="Calibri" w:eastAsia="Calibri" w:cs="Calibri"/>
          <w:spacing w:val="0"/>
          <w:sz w:val="24"/>
          <w:szCs w:val="24"/>
          <w:lang w:val="pt-PT"/>
        </w:rPr>
        <w:t>vencedor</w:t>
      </w:r>
      <w:r>
        <w:rPr>
          <w:rFonts w:ascii="Calibri" w:hAnsi="Calibri" w:eastAsia="Calibri" w:cs="Calibri"/>
          <w:spacing w:val="0"/>
          <w:sz w:val="24"/>
          <w:szCs w:val="24"/>
          <w:lang w:val="pt-PT"/>
        </w:rPr>
        <w:t xml:space="preserve"> será determinado por um comité</w:t>
      </w:r>
      <w:r>
        <w:rPr>
          <w:rFonts w:hint="default" w:ascii="Calibri" w:hAnsi="Calibri" w:eastAsia="Calibri" w:cs="Calibri"/>
          <w:spacing w:val="0"/>
          <w:sz w:val="24"/>
          <w:szCs w:val="24"/>
          <w:lang w:val="pt-PT"/>
        </w:rPr>
        <w:t xml:space="preserve"> de compras constituido por</w:t>
      </w:r>
      <w:r>
        <w:rPr>
          <w:rFonts w:ascii="Calibri" w:hAnsi="Calibri" w:eastAsia="Calibri" w:cs="Calibri"/>
          <w:spacing w:val="0"/>
          <w:sz w:val="24"/>
          <w:szCs w:val="24"/>
          <w:lang w:val="pt-PT"/>
        </w:rPr>
        <w:t xml:space="preserve"> funcionários d</w:t>
      </w:r>
      <w:r>
        <w:rPr>
          <w:rFonts w:hint="default" w:ascii="Calibri" w:hAnsi="Calibri" w:eastAsia="Calibri" w:cs="Calibri"/>
          <w:spacing w:val="0"/>
          <w:sz w:val="24"/>
          <w:szCs w:val="24"/>
          <w:lang w:val="pt-PT"/>
        </w:rPr>
        <w:t>a</w:t>
      </w:r>
      <w:r>
        <w:rPr>
          <w:rFonts w:ascii="Calibri" w:hAnsi="Calibri" w:eastAsia="Calibri" w:cs="Calibri"/>
          <w:spacing w:val="0"/>
          <w:sz w:val="24"/>
          <w:szCs w:val="24"/>
          <w:lang w:val="pt-PT"/>
        </w:rPr>
        <w:t xml:space="preserve"> Malária Consortium.</w:t>
      </w:r>
    </w:p>
    <w:p w14:paraId="419AC653">
      <w:pPr>
        <w:ind w:left="360"/>
        <w:jc w:val="both"/>
        <w:rPr>
          <w:rFonts w:ascii="Calibri" w:hAnsi="Calibri" w:cs="Calibri"/>
          <w:sz w:val="24"/>
          <w:szCs w:val="24"/>
          <w:lang w:val="pt-PT"/>
        </w:rPr>
      </w:pPr>
    </w:p>
    <w:p w14:paraId="419AC654">
      <w:pPr>
        <w:numPr>
          <w:ilvl w:val="0"/>
          <w:numId w:val="4"/>
        </w:numPr>
        <w:jc w:val="both"/>
        <w:rPr>
          <w:rFonts w:ascii="Calibri" w:hAnsi="Calibri" w:cs="Calibri"/>
          <w:sz w:val="24"/>
          <w:szCs w:val="24"/>
          <w:lang w:val="pt-PT"/>
        </w:rPr>
      </w:pPr>
      <w:r>
        <w:rPr>
          <w:rFonts w:ascii="Calibri" w:hAnsi="Calibri" w:eastAsia="Calibri" w:cs="Calibri"/>
          <w:spacing w:val="0"/>
          <w:sz w:val="24"/>
          <w:szCs w:val="24"/>
          <w:lang w:val="pt-PT"/>
        </w:rPr>
        <w:t xml:space="preserve">Os </w:t>
      </w:r>
      <w:r>
        <w:rPr>
          <w:rFonts w:hint="default" w:ascii="Calibri" w:hAnsi="Calibri" w:eastAsia="Calibri" w:cs="Calibri"/>
          <w:spacing w:val="0"/>
          <w:sz w:val="24"/>
          <w:szCs w:val="24"/>
          <w:lang w:val="pt-PT"/>
        </w:rPr>
        <w:t>fornecedo</w:t>
      </w:r>
      <w:r>
        <w:rPr>
          <w:rFonts w:ascii="Calibri" w:hAnsi="Calibri" w:eastAsia="Calibri" w:cs="Calibri"/>
          <w:spacing w:val="0"/>
          <w:sz w:val="24"/>
          <w:szCs w:val="24"/>
          <w:lang w:val="pt-PT"/>
        </w:rPr>
        <w:t xml:space="preserve">res aprovados receberão um Contrato de Fornecedor Pré-qualificado por um período de até 2 anos, que pode ser prorrogado mediante acordo de ambas as partes. Os Fornecedores pré-qualificados podem posteriormente receber Pedidos de Cotação e as suas respostas avaliadas com base em cada pedido do serviço. </w:t>
      </w:r>
    </w:p>
    <w:p w14:paraId="419AC657">
      <w:pPr>
        <w:numPr>
          <w:ilvl w:val="255"/>
          <w:numId w:val="0"/>
        </w:numPr>
        <w:ind w:left="1080" w:firstLine="0"/>
        <w:jc w:val="both"/>
        <w:rPr>
          <w:rFonts w:ascii="Calibri" w:hAnsi="Calibri" w:cs="Calibri"/>
          <w:sz w:val="24"/>
          <w:szCs w:val="24"/>
          <w:lang w:val="pt-PT"/>
        </w:rPr>
      </w:pPr>
    </w:p>
    <w:p w14:paraId="419AC658">
      <w:pPr>
        <w:numPr>
          <w:ilvl w:val="0"/>
          <w:numId w:val="4"/>
        </w:numPr>
        <w:jc w:val="both"/>
        <w:rPr>
          <w:rFonts w:ascii="Calibri" w:hAnsi="Calibri" w:cs="Calibri"/>
          <w:sz w:val="24"/>
          <w:szCs w:val="24"/>
          <w:lang w:val="pt-PT"/>
        </w:rPr>
      </w:pPr>
      <w:r>
        <w:rPr>
          <w:rFonts w:ascii="Calibri" w:hAnsi="Calibri" w:cs="Calibri"/>
          <w:sz w:val="24"/>
          <w:szCs w:val="24"/>
          <w:lang w:val="pt-PT"/>
        </w:rPr>
        <w:t>A Malária Consortium reserva-se o direito de não emitir Pedidos de Cotação após o processo de EOI.</w:t>
      </w:r>
    </w:p>
    <w:p w14:paraId="419AC659">
      <w:pPr>
        <w:ind w:left="0"/>
        <w:jc w:val="both"/>
        <w:rPr>
          <w:rFonts w:ascii="Calibri" w:hAnsi="Calibri" w:cs="Calibri"/>
          <w:sz w:val="24"/>
          <w:szCs w:val="24"/>
          <w:lang w:val="pt-PT"/>
        </w:rPr>
      </w:pPr>
    </w:p>
    <w:p w14:paraId="419AC65A">
      <w:pPr>
        <w:numPr>
          <w:ilvl w:val="0"/>
          <w:numId w:val="4"/>
        </w:numPr>
        <w:jc w:val="both"/>
        <w:rPr>
          <w:rFonts w:ascii="Calibri" w:hAnsi="Calibri" w:cs="Calibri"/>
          <w:sz w:val="24"/>
          <w:szCs w:val="24"/>
          <w:lang w:val="pt-PT"/>
        </w:rPr>
      </w:pPr>
      <w:r>
        <w:rPr>
          <w:rFonts w:ascii="Calibri" w:hAnsi="Calibri" w:eastAsia="Calibri" w:cs="Calibri"/>
          <w:spacing w:val="0"/>
          <w:sz w:val="24"/>
          <w:szCs w:val="24"/>
          <w:lang w:val="pt-PT"/>
        </w:rPr>
        <w:t xml:space="preserve">A língua para comunicações e documentos necessários é o português </w:t>
      </w:r>
    </w:p>
    <w:p w14:paraId="3913485B">
      <w:pPr>
        <w:numPr>
          <w:ilvl w:val="255"/>
          <w:numId w:val="0"/>
        </w:numPr>
        <w:jc w:val="both"/>
        <w:rPr>
          <w:rFonts w:ascii="Calibri" w:hAnsi="Calibri" w:eastAsia="Calibri" w:cs="Calibri"/>
          <w:spacing w:val="0"/>
          <w:sz w:val="24"/>
          <w:szCs w:val="24"/>
          <w:lang w:val="pt-PT"/>
        </w:rPr>
      </w:pPr>
    </w:p>
    <w:p w14:paraId="4F3E0323">
      <w:pPr>
        <w:numPr>
          <w:ilvl w:val="255"/>
          <w:numId w:val="0"/>
        </w:numPr>
        <w:jc w:val="both"/>
        <w:rPr>
          <w:rFonts w:ascii="Calibri" w:hAnsi="Calibri" w:eastAsia="Calibri" w:cs="Calibri"/>
          <w:spacing w:val="0"/>
          <w:sz w:val="24"/>
          <w:szCs w:val="24"/>
          <w:lang w:val="pt-PT"/>
        </w:rPr>
      </w:pPr>
    </w:p>
    <w:p w14:paraId="419AC65E">
      <w:pPr>
        <w:ind w:left="0"/>
        <w:jc w:val="center"/>
        <w:rPr>
          <w:rFonts w:ascii="Calibri" w:hAnsi="Calibri" w:eastAsia="Calibri" w:cs="Calibri"/>
          <w:b/>
          <w:spacing w:val="0"/>
          <w:sz w:val="24"/>
          <w:szCs w:val="24"/>
          <w:lang w:val="pt-BR"/>
        </w:rPr>
      </w:pPr>
      <w:bookmarkStart w:id="1" w:name="OLE_LINK1"/>
      <w:r>
        <w:rPr>
          <w:rFonts w:ascii="Calibri" w:hAnsi="Calibri" w:cs="Calibri"/>
          <w:b/>
          <w:spacing w:val="0"/>
          <w:sz w:val="24"/>
          <w:szCs w:val="24"/>
          <w:lang w:val="pt-PT"/>
        </w:rPr>
        <w:t>ANEXO A.</w:t>
      </w:r>
    </w:p>
    <w:p w14:paraId="419AC65F">
      <w:pPr>
        <w:ind w:left="0" w:right="-1794"/>
        <w:jc w:val="center"/>
        <w:rPr>
          <w:rFonts w:ascii="Calibri" w:hAnsi="Calibri" w:eastAsia="Calibri" w:cs="Calibri"/>
          <w:b/>
          <w:spacing w:val="0"/>
          <w:sz w:val="24"/>
          <w:szCs w:val="24"/>
          <w:lang w:val="pt-BR"/>
        </w:rPr>
      </w:pPr>
    </w:p>
    <w:p w14:paraId="419AC660">
      <w:pPr>
        <w:ind w:left="720"/>
        <w:jc w:val="center"/>
        <w:rPr>
          <w:rFonts w:ascii="Calibri" w:hAnsi="Calibri" w:eastAsia="Calibri" w:cs="Calibri"/>
          <w:b/>
          <w:spacing w:val="0"/>
          <w:sz w:val="24"/>
          <w:szCs w:val="24"/>
          <w:lang w:val="pt-PT"/>
        </w:rPr>
      </w:pPr>
      <w:r>
        <w:rPr>
          <w:rFonts w:ascii="Calibri" w:hAnsi="Calibri" w:cs="Calibri"/>
          <w:b/>
          <w:spacing w:val="0"/>
          <w:sz w:val="24"/>
          <w:szCs w:val="24"/>
          <w:lang w:val="pt-PT"/>
        </w:rPr>
        <w:t>CATEGORIAS DE PRODUTOS &amp; SERVI</w:t>
      </w:r>
      <w:r>
        <w:rPr>
          <w:rFonts w:hint="default" w:ascii="Calibri" w:hAnsi="Calibri" w:cs="Calibri"/>
          <w:b/>
          <w:spacing w:val="0"/>
          <w:sz w:val="24"/>
          <w:szCs w:val="24"/>
          <w:lang w:val="pt-PT"/>
        </w:rPr>
        <w:t>ÇO</w:t>
      </w:r>
      <w:r>
        <w:rPr>
          <w:rFonts w:ascii="Calibri" w:hAnsi="Calibri" w:cs="Calibri"/>
          <w:b/>
          <w:spacing w:val="0"/>
          <w:sz w:val="24"/>
          <w:szCs w:val="24"/>
          <w:lang w:val="pt-PT"/>
        </w:rPr>
        <w:t>S 2025-2026</w:t>
      </w:r>
    </w:p>
    <w:bookmarkEnd w:id="1"/>
    <w:p w14:paraId="419AC661">
      <w:pPr>
        <w:pStyle w:val="5"/>
        <w:numPr>
          <w:ilvl w:val="255"/>
          <w:numId w:val="0"/>
        </w:numPr>
        <w:ind w:left="0" w:firstLine="0"/>
        <w:jc w:val="both"/>
        <w:rPr>
          <w:rFonts w:ascii="Calibri" w:hAnsi="Calibri" w:cs="Calibri"/>
          <w:sz w:val="24"/>
          <w:szCs w:val="24"/>
          <w:lang w:val="pt-PT"/>
        </w:rPr>
      </w:pPr>
    </w:p>
    <w:tbl>
      <w:tblPr>
        <w:tblStyle w:val="7"/>
        <w:tblpPr w:leftFromText="180" w:rightFromText="180" w:vertAnchor="text" w:horzAnchor="page" w:tblpX="1628" w:tblpY="216"/>
        <w:tblOverlap w:val="never"/>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2"/>
        <w:gridCol w:w="7457"/>
      </w:tblGrid>
      <w:tr w14:paraId="0EA0D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012" w:type="dxa"/>
            <w:noWrap/>
          </w:tcPr>
          <w:p w14:paraId="39D97A3C">
            <w:pPr>
              <w:ind w:left="0"/>
              <w:jc w:val="center"/>
              <w:rPr>
                <w:rFonts w:ascii="Calibri" w:hAnsi="Calibri" w:eastAsia="Calibri" w:cs="Calibri"/>
                <w:b/>
                <w:bCs/>
                <w:color w:val="auto"/>
                <w:spacing w:val="0"/>
                <w:sz w:val="24"/>
                <w:szCs w:val="24"/>
                <w:lang w:val="en-US"/>
              </w:rPr>
            </w:pPr>
          </w:p>
        </w:tc>
        <w:tc>
          <w:tcPr>
            <w:tcW w:w="7457" w:type="dxa"/>
            <w:noWrap/>
          </w:tcPr>
          <w:p w14:paraId="769783AE">
            <w:pPr>
              <w:ind w:left="0"/>
              <w:jc w:val="center"/>
              <w:rPr>
                <w:rFonts w:ascii="Calibri" w:hAnsi="Calibri" w:eastAsia="Calibri" w:cs="Calibri"/>
                <w:b/>
                <w:bCs/>
                <w:color w:val="auto"/>
                <w:spacing w:val="0"/>
                <w:sz w:val="24"/>
                <w:szCs w:val="24"/>
                <w:lang w:val="en-US"/>
              </w:rPr>
            </w:pPr>
            <w:r>
              <w:rPr>
                <w:rFonts w:ascii="Calibri" w:hAnsi="Calibri" w:cs="Calibri"/>
                <w:b/>
                <w:bCs/>
                <w:color w:val="auto"/>
                <w:spacing w:val="0"/>
                <w:sz w:val="24"/>
                <w:szCs w:val="24"/>
                <w:lang w:val="pt-PT"/>
              </w:rPr>
              <w:t>CATEGORIAS</w:t>
            </w:r>
          </w:p>
        </w:tc>
      </w:tr>
      <w:tr w14:paraId="515EF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012" w:type="dxa"/>
            <w:noWrap/>
          </w:tcPr>
          <w:p w14:paraId="6C85E95C">
            <w:pPr>
              <w:ind w:left="0"/>
              <w:jc w:val="center"/>
              <w:rPr>
                <w:rFonts w:ascii="Calibri" w:hAnsi="Calibri" w:eastAsia="Calibri" w:cs="Calibri"/>
                <w:color w:val="auto"/>
                <w:spacing w:val="0"/>
                <w:sz w:val="24"/>
                <w:szCs w:val="24"/>
                <w:highlight w:val="none"/>
                <w:lang w:val="en-US"/>
              </w:rPr>
            </w:pPr>
            <w:r>
              <w:rPr>
                <w:rFonts w:ascii="Calibri" w:hAnsi="Calibri" w:cs="Calibri"/>
                <w:b/>
                <w:bCs/>
                <w:color w:val="auto"/>
                <w:spacing w:val="0"/>
                <w:sz w:val="24"/>
                <w:szCs w:val="24"/>
                <w:lang w:val="pt-PT"/>
              </w:rPr>
              <w:t>REFERÊNCIA</w:t>
            </w:r>
          </w:p>
        </w:tc>
        <w:tc>
          <w:tcPr>
            <w:tcW w:w="7457" w:type="dxa"/>
            <w:noWrap/>
          </w:tcPr>
          <w:p w14:paraId="009D59DF">
            <w:pPr>
              <w:ind w:left="0"/>
              <w:jc w:val="center"/>
              <w:rPr>
                <w:rFonts w:ascii="Calibri" w:hAnsi="Calibri" w:eastAsia="Calibri" w:cs="Calibri"/>
                <w:b/>
                <w:bCs/>
                <w:color w:val="auto"/>
                <w:spacing w:val="0"/>
                <w:sz w:val="24"/>
                <w:szCs w:val="24"/>
                <w:highlight w:val="none"/>
                <w:lang w:val="en-US"/>
              </w:rPr>
            </w:pPr>
            <w:r>
              <w:rPr>
                <w:rFonts w:ascii="Calibri" w:hAnsi="Calibri" w:cs="Calibri"/>
                <w:b/>
                <w:bCs/>
                <w:color w:val="auto"/>
                <w:spacing w:val="0"/>
                <w:sz w:val="24"/>
                <w:szCs w:val="24"/>
                <w:highlight w:val="none"/>
                <w:lang w:val="pt-PT"/>
              </w:rPr>
              <w:t xml:space="preserve">CATEGORIA </w:t>
            </w:r>
            <w:r>
              <w:rPr>
                <w:rFonts w:hint="default" w:ascii="Calibri" w:hAnsi="Calibri" w:cs="Calibri"/>
                <w:b/>
                <w:bCs/>
                <w:color w:val="auto"/>
                <w:spacing w:val="0"/>
                <w:sz w:val="24"/>
                <w:szCs w:val="24"/>
                <w:highlight w:val="none"/>
                <w:lang w:val="pt-PT"/>
              </w:rPr>
              <w:t>(</w:t>
            </w:r>
            <w:r>
              <w:rPr>
                <w:rFonts w:ascii="Calibri" w:hAnsi="Calibri" w:cs="Calibri"/>
                <w:b/>
                <w:bCs/>
                <w:color w:val="auto"/>
                <w:spacing w:val="0"/>
                <w:sz w:val="24"/>
                <w:szCs w:val="24"/>
                <w:highlight w:val="none"/>
                <w:lang w:val="pt-PT"/>
              </w:rPr>
              <w:t>A</w:t>
            </w:r>
            <w:r>
              <w:rPr>
                <w:rFonts w:hint="default" w:ascii="Calibri" w:hAnsi="Calibri" w:cs="Calibri"/>
                <w:b/>
                <w:bCs/>
                <w:color w:val="auto"/>
                <w:spacing w:val="0"/>
                <w:sz w:val="24"/>
                <w:szCs w:val="24"/>
                <w:highlight w:val="none"/>
                <w:lang w:val="pt-PT"/>
              </w:rPr>
              <w:t>)</w:t>
            </w:r>
            <w:r>
              <w:rPr>
                <w:rFonts w:ascii="Calibri" w:hAnsi="Calibri" w:cs="Calibri"/>
                <w:b/>
                <w:bCs/>
                <w:color w:val="auto"/>
                <w:spacing w:val="0"/>
                <w:sz w:val="24"/>
                <w:szCs w:val="24"/>
                <w:highlight w:val="none"/>
                <w:lang w:val="pt-PT"/>
              </w:rPr>
              <w:t xml:space="preserve"> PRODUTOS</w:t>
            </w:r>
          </w:p>
        </w:tc>
      </w:tr>
      <w:tr w14:paraId="2684C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12" w:type="dxa"/>
            <w:noWrap/>
          </w:tcPr>
          <w:p w14:paraId="1EB188A2">
            <w:pPr>
              <w:ind w:left="0"/>
              <w:jc w:val="both"/>
              <w:rPr>
                <w:rFonts w:ascii="Calibri" w:hAnsi="Calibri" w:eastAsia="Calibri" w:cs="Calibri"/>
                <w:color w:val="auto"/>
                <w:spacing w:val="0"/>
                <w:sz w:val="24"/>
                <w:szCs w:val="24"/>
                <w:lang w:val="en-US"/>
              </w:rPr>
            </w:pPr>
            <w:r>
              <w:rPr>
                <w:rFonts w:ascii="Calibri" w:hAnsi="Calibri" w:cs="Calibri"/>
                <w:color w:val="auto"/>
                <w:spacing w:val="0"/>
                <w:sz w:val="24"/>
                <w:szCs w:val="24"/>
                <w:lang w:val="pt-PT"/>
              </w:rPr>
              <w:t>MCMZ - P001</w:t>
            </w:r>
          </w:p>
        </w:tc>
        <w:tc>
          <w:tcPr>
            <w:tcW w:w="7457" w:type="dxa"/>
          </w:tcPr>
          <w:p w14:paraId="1238562C">
            <w:pPr>
              <w:pStyle w:val="31"/>
              <w:numPr>
                <w:ilvl w:val="0"/>
                <w:numId w:val="6"/>
              </w:numPr>
              <w:jc w:val="both"/>
              <w:rPr>
                <w:color w:val="auto"/>
                <w:sz w:val="24"/>
                <w:szCs w:val="24"/>
                <w:lang w:val="fr-FR"/>
              </w:rPr>
            </w:pPr>
            <w:r>
              <w:rPr>
                <w:rFonts w:hint="default"/>
                <w:color w:val="auto"/>
                <w:sz w:val="24"/>
                <w:szCs w:val="24"/>
                <w:lang w:val="pt-PT"/>
              </w:rPr>
              <w:t>Material de Visibilidade (Ex: Camisetas Polo, Sacolas, Coletes Reflectores, Banners etc...)</w:t>
            </w:r>
          </w:p>
        </w:tc>
      </w:tr>
      <w:tr w14:paraId="11409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12" w:type="dxa"/>
            <w:noWrap/>
          </w:tcPr>
          <w:p w14:paraId="0053CBED">
            <w:pPr>
              <w:ind w:left="0"/>
              <w:jc w:val="both"/>
              <w:rPr>
                <w:rFonts w:ascii="Calibri" w:hAnsi="Calibri" w:eastAsia="Calibri" w:cs="Calibri"/>
                <w:color w:val="auto"/>
                <w:spacing w:val="0"/>
                <w:sz w:val="24"/>
                <w:szCs w:val="24"/>
                <w:lang w:val="en-US"/>
              </w:rPr>
            </w:pPr>
            <w:r>
              <w:rPr>
                <w:rFonts w:ascii="Calibri" w:hAnsi="Calibri" w:cs="Calibri"/>
                <w:color w:val="auto"/>
                <w:spacing w:val="0"/>
                <w:sz w:val="24"/>
                <w:szCs w:val="24"/>
                <w:lang w:val="pt-PT"/>
              </w:rPr>
              <w:t>MCMZ - P002</w:t>
            </w:r>
          </w:p>
        </w:tc>
        <w:tc>
          <w:tcPr>
            <w:tcW w:w="7457" w:type="dxa"/>
          </w:tcPr>
          <w:p w14:paraId="507ADF37">
            <w:pPr>
              <w:pStyle w:val="31"/>
              <w:numPr>
                <w:ilvl w:val="0"/>
                <w:numId w:val="7"/>
              </w:numPr>
              <w:jc w:val="both"/>
              <w:rPr>
                <w:color w:val="auto"/>
                <w:sz w:val="24"/>
                <w:szCs w:val="24"/>
                <w:lang w:val="pt-BR"/>
              </w:rPr>
            </w:pPr>
            <w:r>
              <w:rPr>
                <w:color w:val="auto"/>
                <w:sz w:val="24"/>
                <w:szCs w:val="24"/>
              </w:rPr>
              <w:t>Computador</w:t>
            </w:r>
            <w:r>
              <w:rPr>
                <w:rFonts w:hint="default"/>
                <w:color w:val="auto"/>
                <w:sz w:val="24"/>
                <w:szCs w:val="24"/>
                <w:lang w:val="pt-PT"/>
              </w:rPr>
              <w:t xml:space="preserve">es </w:t>
            </w:r>
            <w:r>
              <w:rPr>
                <w:color w:val="auto"/>
                <w:sz w:val="24"/>
                <w:szCs w:val="24"/>
              </w:rPr>
              <w:t>Portáteis /Laptops</w:t>
            </w:r>
            <w:r>
              <w:rPr>
                <w:rFonts w:hint="default"/>
                <w:color w:val="auto"/>
                <w:sz w:val="24"/>
                <w:szCs w:val="24"/>
                <w:lang w:val="pt-PT"/>
              </w:rPr>
              <w:t xml:space="preserve"> i</w:t>
            </w:r>
            <w:r>
              <w:rPr>
                <w:color w:val="auto"/>
                <w:sz w:val="24"/>
                <w:szCs w:val="24"/>
              </w:rPr>
              <w:t>ncluindo licença Microsoft Windows 1</w:t>
            </w:r>
            <w:r>
              <w:rPr>
                <w:rFonts w:hint="default"/>
                <w:color w:val="auto"/>
                <w:sz w:val="24"/>
                <w:szCs w:val="24"/>
                <w:lang w:val="pt-PT"/>
              </w:rPr>
              <w:t>1</w:t>
            </w:r>
            <w:r>
              <w:rPr>
                <w:color w:val="auto"/>
                <w:sz w:val="24"/>
                <w:szCs w:val="24"/>
              </w:rPr>
              <w:t xml:space="preserve"> Pro </w:t>
            </w:r>
          </w:p>
          <w:p w14:paraId="1F3A20FF">
            <w:pPr>
              <w:pStyle w:val="31"/>
              <w:numPr>
                <w:ilvl w:val="0"/>
                <w:numId w:val="7"/>
              </w:numPr>
              <w:jc w:val="both"/>
              <w:rPr>
                <w:color w:val="auto"/>
                <w:sz w:val="24"/>
                <w:szCs w:val="24"/>
                <w:lang w:val="pt-BR"/>
              </w:rPr>
            </w:pPr>
            <w:r>
              <w:rPr>
                <w:rFonts w:hint="default"/>
                <w:color w:val="auto"/>
                <w:sz w:val="24"/>
                <w:szCs w:val="24"/>
                <w:lang w:val="pt-PT"/>
              </w:rPr>
              <w:t>Impressoras Multi funcionais, coloridas.</w:t>
            </w:r>
          </w:p>
          <w:p w14:paraId="083447DF">
            <w:pPr>
              <w:pStyle w:val="31"/>
              <w:numPr>
                <w:ilvl w:val="0"/>
                <w:numId w:val="7"/>
              </w:numPr>
              <w:jc w:val="both"/>
              <w:rPr>
                <w:color w:val="auto"/>
                <w:sz w:val="24"/>
                <w:szCs w:val="24"/>
                <w:lang w:val="pt-BR"/>
              </w:rPr>
            </w:pPr>
            <w:r>
              <w:rPr>
                <w:rFonts w:hint="default"/>
                <w:color w:val="auto"/>
                <w:sz w:val="24"/>
                <w:szCs w:val="24"/>
                <w:lang w:val="pt-PT"/>
              </w:rPr>
              <w:t>Fornecimento de Tonners</w:t>
            </w:r>
          </w:p>
        </w:tc>
      </w:tr>
      <w:tr w14:paraId="7D8B0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12" w:type="dxa"/>
            <w:noWrap/>
          </w:tcPr>
          <w:p w14:paraId="17ECC431">
            <w:pPr>
              <w:ind w:left="0"/>
              <w:jc w:val="both"/>
              <w:rPr>
                <w:rFonts w:ascii="Calibri" w:hAnsi="Calibri" w:eastAsia="Calibri" w:cs="Calibri"/>
                <w:color w:val="auto"/>
                <w:spacing w:val="0"/>
                <w:sz w:val="24"/>
                <w:szCs w:val="24"/>
                <w:lang w:val="en-US"/>
              </w:rPr>
            </w:pPr>
            <w:r>
              <w:rPr>
                <w:rFonts w:ascii="Calibri" w:hAnsi="Calibri" w:cs="Calibri"/>
                <w:color w:val="auto"/>
                <w:spacing w:val="0"/>
                <w:sz w:val="24"/>
                <w:szCs w:val="24"/>
                <w:lang w:val="pt-PT"/>
              </w:rPr>
              <w:t>MCMZ - P003</w:t>
            </w:r>
          </w:p>
        </w:tc>
        <w:tc>
          <w:tcPr>
            <w:tcW w:w="7457" w:type="dxa"/>
          </w:tcPr>
          <w:p w14:paraId="0A0BB1D6">
            <w:pPr>
              <w:numPr>
                <w:ilvl w:val="0"/>
                <w:numId w:val="8"/>
              </w:numPr>
              <w:jc w:val="both"/>
              <w:rPr>
                <w:rFonts w:ascii="Calibri" w:hAnsi="Calibri" w:eastAsia="Calibri" w:cs="Calibri"/>
                <w:color w:val="auto"/>
                <w:spacing w:val="0"/>
                <w:sz w:val="24"/>
                <w:szCs w:val="24"/>
                <w:lang w:val="en-US"/>
              </w:rPr>
            </w:pPr>
            <w:r>
              <w:rPr>
                <w:rFonts w:hint="default" w:ascii="Calibri" w:hAnsi="Calibri" w:cs="Calibri"/>
                <w:color w:val="auto"/>
                <w:spacing w:val="0"/>
                <w:sz w:val="24"/>
                <w:szCs w:val="24"/>
                <w:lang w:val="pt-PT"/>
              </w:rPr>
              <w:t>Produção de Livros e Fichas - (Material Gr</w:t>
            </w:r>
            <w:r>
              <w:rPr>
                <w:rFonts w:hint="default" w:ascii="Candara" w:hAnsi="Candara" w:cs="Candara"/>
                <w:color w:val="auto"/>
                <w:spacing w:val="0"/>
                <w:sz w:val="24"/>
                <w:szCs w:val="24"/>
                <w:lang w:val="pt-PT"/>
              </w:rPr>
              <w:t>á</w:t>
            </w:r>
            <w:r>
              <w:rPr>
                <w:rFonts w:hint="default" w:ascii="Calibri" w:hAnsi="Calibri" w:cs="Calibri"/>
                <w:color w:val="auto"/>
                <w:spacing w:val="0"/>
                <w:sz w:val="24"/>
                <w:szCs w:val="24"/>
                <w:lang w:val="pt-PT"/>
              </w:rPr>
              <w:t>fico)</w:t>
            </w:r>
          </w:p>
        </w:tc>
      </w:tr>
      <w:tr w14:paraId="1BCD8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12" w:type="dxa"/>
            <w:tcBorders>
              <w:top w:val="single" w:color="auto" w:sz="4" w:space="0"/>
              <w:left w:val="single" w:color="auto" w:sz="4" w:space="0"/>
              <w:bottom w:val="single" w:color="auto" w:sz="4" w:space="0"/>
              <w:right w:val="single" w:color="auto" w:sz="4" w:space="0"/>
            </w:tcBorders>
            <w:noWrap/>
          </w:tcPr>
          <w:p w14:paraId="7C119A6D">
            <w:pPr>
              <w:ind w:left="0"/>
              <w:jc w:val="both"/>
              <w:rPr>
                <w:rFonts w:ascii="Calibri" w:hAnsi="Calibri" w:eastAsia="Calibri" w:cs="Calibri"/>
                <w:color w:val="auto"/>
                <w:spacing w:val="0"/>
                <w:sz w:val="24"/>
                <w:szCs w:val="24"/>
                <w:highlight w:val="none"/>
                <w:lang w:val="en-US"/>
              </w:rPr>
            </w:pPr>
            <w:r>
              <w:rPr>
                <w:rFonts w:ascii="Calibri" w:hAnsi="Calibri" w:cs="Calibri"/>
                <w:color w:val="auto"/>
                <w:spacing w:val="0"/>
                <w:sz w:val="24"/>
                <w:szCs w:val="24"/>
                <w:highlight w:val="none"/>
                <w:lang w:val="pt-PT"/>
              </w:rPr>
              <w:t>MCMZ - P004</w:t>
            </w:r>
          </w:p>
        </w:tc>
        <w:tc>
          <w:tcPr>
            <w:tcW w:w="7457" w:type="dxa"/>
            <w:tcBorders>
              <w:top w:val="single" w:color="auto" w:sz="4" w:space="0"/>
              <w:left w:val="single" w:color="auto" w:sz="4" w:space="0"/>
              <w:bottom w:val="single" w:color="auto" w:sz="4" w:space="0"/>
              <w:right w:val="single" w:color="auto" w:sz="4" w:space="0"/>
            </w:tcBorders>
          </w:tcPr>
          <w:p w14:paraId="656A4A27">
            <w:pPr>
              <w:numPr>
                <w:ilvl w:val="0"/>
                <w:numId w:val="9"/>
              </w:numPr>
              <w:ind w:left="420" w:hanging="420"/>
              <w:jc w:val="both"/>
              <w:rPr>
                <w:rFonts w:hint="default" w:ascii="Calibri" w:hAnsi="Calibri" w:eastAsia="Calibri" w:cs="Calibri"/>
                <w:b/>
                <w:bCs/>
                <w:color w:val="auto"/>
                <w:spacing w:val="0"/>
                <w:sz w:val="24"/>
                <w:szCs w:val="24"/>
                <w:highlight w:val="none"/>
                <w:lang w:val="pt-PT"/>
              </w:rPr>
            </w:pPr>
            <w:r>
              <w:rPr>
                <w:rFonts w:hint="default" w:ascii="Calibri" w:hAnsi="Calibri" w:eastAsia="Calibri" w:cs="Calibri"/>
                <w:b w:val="0"/>
                <w:bCs w:val="0"/>
                <w:color w:val="auto"/>
                <w:spacing w:val="0"/>
                <w:sz w:val="24"/>
                <w:szCs w:val="24"/>
                <w:highlight w:val="none"/>
                <w:lang w:val="pt-PT"/>
              </w:rPr>
              <w:t>Material Did</w:t>
            </w:r>
            <w:r>
              <w:rPr>
                <w:rFonts w:hint="default" w:ascii="Candara" w:hAnsi="Candara" w:eastAsia="Calibri" w:cs="Candara"/>
                <w:b w:val="0"/>
                <w:bCs w:val="0"/>
                <w:color w:val="auto"/>
                <w:spacing w:val="0"/>
                <w:sz w:val="24"/>
                <w:szCs w:val="24"/>
                <w:highlight w:val="none"/>
                <w:lang w:val="pt-PT"/>
              </w:rPr>
              <w:t>á</w:t>
            </w:r>
            <w:r>
              <w:rPr>
                <w:rFonts w:hint="default" w:ascii="Calibri" w:hAnsi="Calibri" w:eastAsia="Calibri" w:cs="Calibri"/>
                <w:b w:val="0"/>
                <w:bCs w:val="0"/>
                <w:color w:val="auto"/>
                <w:spacing w:val="0"/>
                <w:sz w:val="24"/>
                <w:szCs w:val="24"/>
                <w:highlight w:val="none"/>
                <w:lang w:val="pt-PT"/>
              </w:rPr>
              <w:t>ctico - Papelaria</w:t>
            </w:r>
          </w:p>
        </w:tc>
      </w:tr>
      <w:tr w14:paraId="6D6AE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12" w:type="dxa"/>
            <w:tcBorders>
              <w:top w:val="single" w:color="auto" w:sz="4" w:space="0"/>
              <w:left w:val="single" w:color="auto" w:sz="4" w:space="0"/>
              <w:bottom w:val="single" w:color="auto" w:sz="4" w:space="0"/>
              <w:right w:val="single" w:color="auto" w:sz="4" w:space="0"/>
            </w:tcBorders>
            <w:noWrap/>
          </w:tcPr>
          <w:p w14:paraId="1B6EC9A8">
            <w:pPr>
              <w:ind w:left="0"/>
              <w:jc w:val="both"/>
              <w:rPr>
                <w:rFonts w:ascii="Calibri" w:hAnsi="Calibri" w:eastAsia="Calibri" w:cs="Calibri"/>
                <w:color w:val="auto"/>
                <w:spacing w:val="0"/>
                <w:sz w:val="24"/>
                <w:szCs w:val="24"/>
                <w:highlight w:val="none"/>
                <w:lang w:val="en-US"/>
              </w:rPr>
            </w:pPr>
          </w:p>
        </w:tc>
        <w:tc>
          <w:tcPr>
            <w:tcW w:w="7457" w:type="dxa"/>
            <w:tcBorders>
              <w:top w:val="single" w:color="auto" w:sz="4" w:space="0"/>
              <w:left w:val="single" w:color="auto" w:sz="4" w:space="0"/>
              <w:bottom w:val="single" w:color="auto" w:sz="4" w:space="0"/>
              <w:right w:val="single" w:color="auto" w:sz="4" w:space="0"/>
            </w:tcBorders>
          </w:tcPr>
          <w:p w14:paraId="58A4BC48">
            <w:pPr>
              <w:ind w:left="0"/>
              <w:jc w:val="center"/>
              <w:rPr>
                <w:rFonts w:ascii="Calibri" w:hAnsi="Calibri" w:eastAsia="Calibri" w:cs="Calibri"/>
                <w:color w:val="auto"/>
                <w:spacing w:val="0"/>
                <w:sz w:val="24"/>
                <w:szCs w:val="24"/>
                <w:highlight w:val="none"/>
                <w:lang w:val="en-US"/>
              </w:rPr>
            </w:pPr>
            <w:r>
              <w:rPr>
                <w:rFonts w:ascii="Calibri" w:hAnsi="Calibri" w:cs="Calibri"/>
                <w:b/>
                <w:bCs/>
                <w:color w:val="auto"/>
                <w:spacing w:val="0"/>
                <w:sz w:val="24"/>
                <w:szCs w:val="24"/>
                <w:highlight w:val="none"/>
                <w:lang w:val="pt-PT"/>
              </w:rPr>
              <w:t>CATEGORIA (B): SERVIÇOS</w:t>
            </w:r>
          </w:p>
        </w:tc>
      </w:tr>
      <w:tr w14:paraId="4D7CE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12" w:type="dxa"/>
            <w:tcBorders>
              <w:top w:val="single" w:color="auto" w:sz="4" w:space="0"/>
              <w:left w:val="single" w:color="auto" w:sz="4" w:space="0"/>
              <w:bottom w:val="single" w:color="auto" w:sz="4" w:space="0"/>
              <w:right w:val="single" w:color="auto" w:sz="4" w:space="0"/>
            </w:tcBorders>
            <w:noWrap/>
          </w:tcPr>
          <w:p w14:paraId="3A24194F">
            <w:pPr>
              <w:ind w:left="0"/>
              <w:jc w:val="both"/>
              <w:rPr>
                <w:rFonts w:ascii="Calibri" w:hAnsi="Calibri" w:eastAsia="Calibri" w:cs="Calibri"/>
                <w:color w:val="auto"/>
                <w:spacing w:val="0"/>
                <w:sz w:val="24"/>
                <w:szCs w:val="24"/>
                <w:lang w:val="en-US"/>
              </w:rPr>
            </w:pPr>
            <w:r>
              <w:rPr>
                <w:rFonts w:ascii="Calibri" w:hAnsi="Calibri" w:cs="Calibri"/>
                <w:color w:val="auto"/>
                <w:spacing w:val="0"/>
                <w:sz w:val="24"/>
                <w:szCs w:val="24"/>
                <w:lang w:val="pt-PT"/>
              </w:rPr>
              <w:t>MCMZ - S00</w:t>
            </w:r>
            <w:r>
              <w:rPr>
                <w:rFonts w:hint="default" w:ascii="Calibri" w:hAnsi="Calibri" w:cs="Calibri"/>
                <w:color w:val="auto"/>
                <w:spacing w:val="0"/>
                <w:sz w:val="24"/>
                <w:szCs w:val="24"/>
                <w:lang w:val="pt-PT"/>
              </w:rPr>
              <w:t>1</w:t>
            </w:r>
          </w:p>
        </w:tc>
        <w:tc>
          <w:tcPr>
            <w:tcW w:w="7457" w:type="dxa"/>
            <w:tcBorders>
              <w:top w:val="single" w:color="auto" w:sz="4" w:space="0"/>
              <w:left w:val="single" w:color="auto" w:sz="4" w:space="0"/>
              <w:bottom w:val="single" w:color="auto" w:sz="4" w:space="0"/>
              <w:right w:val="single" w:color="auto" w:sz="4" w:space="0"/>
            </w:tcBorders>
          </w:tcPr>
          <w:p w14:paraId="49ACA02A">
            <w:pPr>
              <w:ind w:left="0"/>
              <w:jc w:val="both"/>
              <w:rPr>
                <w:rFonts w:ascii="Calibri" w:hAnsi="Calibri" w:eastAsia="Calibri" w:cs="Calibri"/>
                <w:color w:val="auto"/>
                <w:spacing w:val="0"/>
                <w:sz w:val="24"/>
                <w:szCs w:val="24"/>
                <w:lang w:val="pt-BR"/>
              </w:rPr>
            </w:pPr>
            <w:r>
              <w:rPr>
                <w:rFonts w:ascii="Calibri" w:hAnsi="Calibri" w:cs="Calibri"/>
                <w:color w:val="auto"/>
                <w:spacing w:val="0"/>
                <w:sz w:val="24"/>
                <w:szCs w:val="24"/>
                <w:lang w:val="pt-PT"/>
              </w:rPr>
              <w:t xml:space="preserve">Alojamento para </w:t>
            </w:r>
            <w:r>
              <w:rPr>
                <w:rFonts w:hint="default" w:ascii="Calibri" w:hAnsi="Calibri" w:cs="Calibri"/>
                <w:color w:val="auto"/>
                <w:spacing w:val="0"/>
                <w:sz w:val="24"/>
                <w:szCs w:val="24"/>
                <w:lang w:val="pt-PT"/>
              </w:rPr>
              <w:t>Funcion</w:t>
            </w:r>
            <w:r>
              <w:rPr>
                <w:rFonts w:hint="default" w:ascii="Candara" w:hAnsi="Candara" w:cs="Candara"/>
                <w:color w:val="auto"/>
                <w:spacing w:val="0"/>
                <w:sz w:val="24"/>
                <w:szCs w:val="24"/>
                <w:lang w:val="pt-PT"/>
              </w:rPr>
              <w:t>á</w:t>
            </w:r>
            <w:r>
              <w:rPr>
                <w:rFonts w:hint="default" w:ascii="Calibri" w:hAnsi="Calibri" w:cs="Calibri"/>
                <w:color w:val="auto"/>
                <w:spacing w:val="0"/>
                <w:sz w:val="24"/>
                <w:szCs w:val="24"/>
                <w:lang w:val="pt-PT"/>
              </w:rPr>
              <w:t>rios da Malaria Consortium em todas as Provincias e Dristritos do Pais.</w:t>
            </w:r>
          </w:p>
          <w:p w14:paraId="7AACB666">
            <w:pPr>
              <w:ind w:left="0"/>
              <w:jc w:val="both"/>
              <w:rPr>
                <w:rFonts w:ascii="Calibri" w:hAnsi="Calibri" w:eastAsia="Calibri" w:cs="Calibri"/>
                <w:color w:val="auto"/>
                <w:spacing w:val="0"/>
                <w:sz w:val="24"/>
                <w:szCs w:val="24"/>
                <w:lang w:val="pt-BR"/>
              </w:rPr>
            </w:pPr>
            <w:bookmarkStart w:id="10" w:name="_GoBack"/>
            <w:bookmarkEnd w:id="10"/>
          </w:p>
        </w:tc>
      </w:tr>
      <w:tr w14:paraId="2F83B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12" w:type="dxa"/>
            <w:tcBorders>
              <w:top w:val="single" w:color="auto" w:sz="4" w:space="0"/>
              <w:left w:val="single" w:color="auto" w:sz="4" w:space="0"/>
              <w:bottom w:val="single" w:color="auto" w:sz="4" w:space="0"/>
              <w:right w:val="single" w:color="auto" w:sz="4" w:space="0"/>
            </w:tcBorders>
            <w:noWrap/>
          </w:tcPr>
          <w:p w14:paraId="0BCA63A9">
            <w:pPr>
              <w:ind w:left="0"/>
              <w:jc w:val="both"/>
              <w:rPr>
                <w:rFonts w:hint="default" w:ascii="Calibri" w:hAnsi="Calibri" w:eastAsia="Calibri" w:cs="Calibri"/>
                <w:color w:val="auto"/>
                <w:spacing w:val="0"/>
                <w:sz w:val="24"/>
                <w:szCs w:val="24"/>
                <w:lang w:val="pt-PT"/>
              </w:rPr>
            </w:pPr>
            <w:r>
              <w:rPr>
                <w:rFonts w:ascii="Calibri" w:hAnsi="Calibri" w:cs="Calibri"/>
                <w:color w:val="auto"/>
                <w:spacing w:val="0"/>
                <w:sz w:val="24"/>
                <w:szCs w:val="24"/>
                <w:lang w:val="pt-PT"/>
              </w:rPr>
              <w:t>MCMZ - S00</w:t>
            </w:r>
            <w:r>
              <w:rPr>
                <w:rFonts w:hint="default" w:ascii="Calibri" w:hAnsi="Calibri" w:cs="Calibri"/>
                <w:color w:val="auto"/>
                <w:spacing w:val="0"/>
                <w:sz w:val="24"/>
                <w:szCs w:val="24"/>
                <w:lang w:val="pt-PT"/>
              </w:rPr>
              <w:t>2</w:t>
            </w:r>
          </w:p>
        </w:tc>
        <w:tc>
          <w:tcPr>
            <w:tcW w:w="7457" w:type="dxa"/>
            <w:tcBorders>
              <w:top w:val="single" w:color="auto" w:sz="4" w:space="0"/>
              <w:left w:val="single" w:color="auto" w:sz="4" w:space="0"/>
              <w:bottom w:val="single" w:color="auto" w:sz="4" w:space="0"/>
              <w:right w:val="single" w:color="auto" w:sz="4" w:space="0"/>
            </w:tcBorders>
          </w:tcPr>
          <w:p w14:paraId="1ADE0BE5">
            <w:pPr>
              <w:ind w:left="0"/>
              <w:jc w:val="both"/>
              <w:rPr>
                <w:rFonts w:ascii="Calibri" w:hAnsi="Calibri" w:eastAsia="Calibri" w:cs="Calibri"/>
                <w:color w:val="auto"/>
                <w:spacing w:val="0"/>
                <w:sz w:val="24"/>
                <w:szCs w:val="24"/>
                <w:lang w:val="fr-FR"/>
              </w:rPr>
            </w:pPr>
            <w:r>
              <w:rPr>
                <w:rFonts w:ascii="Calibri" w:hAnsi="Calibri" w:cs="Calibri"/>
                <w:color w:val="auto"/>
                <w:spacing w:val="0"/>
                <w:sz w:val="24"/>
                <w:szCs w:val="24"/>
                <w:lang w:val="pt-PT"/>
              </w:rPr>
              <w:t>Serviços de táxi na província de Nampula</w:t>
            </w:r>
          </w:p>
        </w:tc>
      </w:tr>
      <w:tr w14:paraId="2B862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12" w:type="dxa"/>
            <w:tcBorders>
              <w:top w:val="single" w:color="auto" w:sz="4" w:space="0"/>
              <w:left w:val="single" w:color="auto" w:sz="4" w:space="0"/>
              <w:bottom w:val="single" w:color="auto" w:sz="4" w:space="0"/>
              <w:right w:val="single" w:color="auto" w:sz="4" w:space="0"/>
            </w:tcBorders>
            <w:noWrap/>
          </w:tcPr>
          <w:p w14:paraId="29408BA2">
            <w:pPr>
              <w:ind w:left="0"/>
              <w:jc w:val="both"/>
              <w:rPr>
                <w:rFonts w:hint="default" w:ascii="Calibri" w:hAnsi="Calibri" w:eastAsia="Calibri" w:cs="Calibri"/>
                <w:color w:val="auto"/>
                <w:spacing w:val="0"/>
                <w:sz w:val="24"/>
                <w:szCs w:val="24"/>
                <w:lang w:val="pt-PT"/>
              </w:rPr>
            </w:pPr>
            <w:r>
              <w:rPr>
                <w:rFonts w:ascii="Calibri" w:hAnsi="Calibri" w:cs="Calibri"/>
                <w:color w:val="auto"/>
                <w:spacing w:val="0"/>
                <w:sz w:val="24"/>
                <w:szCs w:val="24"/>
                <w:lang w:val="pt-PT"/>
              </w:rPr>
              <w:t>MCMZ - S00</w:t>
            </w:r>
            <w:r>
              <w:rPr>
                <w:rFonts w:hint="default" w:ascii="Calibri" w:hAnsi="Calibri" w:cs="Calibri"/>
                <w:color w:val="auto"/>
                <w:spacing w:val="0"/>
                <w:sz w:val="24"/>
                <w:szCs w:val="24"/>
                <w:lang w:val="pt-PT"/>
              </w:rPr>
              <w:t>3</w:t>
            </w:r>
          </w:p>
        </w:tc>
        <w:tc>
          <w:tcPr>
            <w:tcW w:w="7457" w:type="dxa"/>
            <w:tcBorders>
              <w:top w:val="single" w:color="auto" w:sz="4" w:space="0"/>
              <w:left w:val="single" w:color="auto" w:sz="4" w:space="0"/>
              <w:bottom w:val="single" w:color="auto" w:sz="4" w:space="0"/>
              <w:right w:val="single" w:color="auto" w:sz="4" w:space="0"/>
            </w:tcBorders>
          </w:tcPr>
          <w:p w14:paraId="53422735">
            <w:pPr>
              <w:ind w:left="0"/>
              <w:jc w:val="both"/>
              <w:rPr>
                <w:rFonts w:ascii="Calibri" w:hAnsi="Calibri" w:eastAsia="Calibri" w:cs="Calibri"/>
                <w:color w:val="auto"/>
                <w:spacing w:val="0"/>
                <w:sz w:val="24"/>
                <w:szCs w:val="24"/>
                <w:lang w:val="fr-FR"/>
              </w:rPr>
            </w:pPr>
            <w:r>
              <w:rPr>
                <w:rFonts w:ascii="Calibri" w:hAnsi="Calibri" w:cs="Calibri"/>
                <w:color w:val="auto"/>
                <w:spacing w:val="0"/>
                <w:sz w:val="24"/>
                <w:szCs w:val="24"/>
                <w:lang w:val="pt-PT"/>
              </w:rPr>
              <w:t>Manutenção para motocicletas e veículos na província de Nampula</w:t>
            </w:r>
          </w:p>
        </w:tc>
      </w:tr>
      <w:tr w14:paraId="14427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12" w:type="dxa"/>
            <w:tcBorders>
              <w:top w:val="single" w:color="auto" w:sz="4" w:space="0"/>
              <w:left w:val="single" w:color="auto" w:sz="4" w:space="0"/>
              <w:bottom w:val="single" w:color="auto" w:sz="4" w:space="0"/>
              <w:right w:val="single" w:color="auto" w:sz="4" w:space="0"/>
            </w:tcBorders>
            <w:noWrap/>
          </w:tcPr>
          <w:p w14:paraId="5035F163">
            <w:pPr>
              <w:ind w:left="0"/>
              <w:jc w:val="both"/>
              <w:rPr>
                <w:rFonts w:hint="default" w:ascii="Calibri" w:hAnsi="Calibri" w:eastAsia="Calibri" w:cs="Calibri"/>
                <w:color w:val="auto"/>
                <w:spacing w:val="0"/>
                <w:sz w:val="24"/>
                <w:szCs w:val="24"/>
                <w:lang w:val="pt-PT"/>
              </w:rPr>
            </w:pPr>
            <w:r>
              <w:rPr>
                <w:rFonts w:ascii="Calibri" w:hAnsi="Calibri" w:cs="Calibri"/>
                <w:color w:val="auto"/>
                <w:spacing w:val="0"/>
                <w:sz w:val="24"/>
                <w:szCs w:val="24"/>
                <w:lang w:val="pt-PT"/>
              </w:rPr>
              <w:t>MCMZ - S00</w:t>
            </w:r>
            <w:r>
              <w:rPr>
                <w:rFonts w:hint="default" w:ascii="Calibri" w:hAnsi="Calibri" w:cs="Calibri"/>
                <w:color w:val="auto"/>
                <w:spacing w:val="0"/>
                <w:sz w:val="24"/>
                <w:szCs w:val="24"/>
                <w:lang w:val="pt-PT"/>
              </w:rPr>
              <w:t>4</w:t>
            </w:r>
          </w:p>
        </w:tc>
        <w:tc>
          <w:tcPr>
            <w:tcW w:w="7457" w:type="dxa"/>
            <w:tcBorders>
              <w:top w:val="single" w:color="auto" w:sz="4" w:space="0"/>
              <w:left w:val="single" w:color="auto" w:sz="4" w:space="0"/>
              <w:bottom w:val="single" w:color="auto" w:sz="4" w:space="0"/>
              <w:right w:val="single" w:color="auto" w:sz="4" w:space="0"/>
            </w:tcBorders>
          </w:tcPr>
          <w:p w14:paraId="079C160B">
            <w:pPr>
              <w:ind w:left="0"/>
              <w:jc w:val="both"/>
              <w:rPr>
                <w:rFonts w:ascii="Calibri" w:hAnsi="Calibri" w:eastAsia="Calibri" w:cs="Calibri"/>
                <w:color w:val="auto"/>
                <w:spacing w:val="0"/>
                <w:sz w:val="24"/>
                <w:szCs w:val="24"/>
                <w:lang w:val="fr-FR"/>
              </w:rPr>
            </w:pPr>
            <w:r>
              <w:rPr>
                <w:rFonts w:ascii="Calibri" w:hAnsi="Calibri" w:cs="Calibri"/>
                <w:color w:val="auto"/>
                <w:spacing w:val="0"/>
                <w:sz w:val="24"/>
                <w:szCs w:val="24"/>
                <w:lang w:val="pt-PT"/>
              </w:rPr>
              <w:t>Manutenção de TI (portáteis, fotocopiadoras, Internet Wi</w:t>
            </w:r>
            <w:r>
              <w:rPr>
                <w:rFonts w:hint="default" w:ascii="Calibri" w:hAnsi="Calibri" w:cs="Calibri"/>
                <w:color w:val="auto"/>
                <w:spacing w:val="0"/>
                <w:sz w:val="24"/>
                <w:szCs w:val="24"/>
                <w:lang w:val="pt-PT"/>
              </w:rPr>
              <w:t>-</w:t>
            </w:r>
            <w:r>
              <w:rPr>
                <w:rFonts w:ascii="Calibri" w:hAnsi="Calibri" w:cs="Calibri"/>
                <w:color w:val="auto"/>
                <w:spacing w:val="0"/>
                <w:sz w:val="24"/>
                <w:szCs w:val="24"/>
                <w:lang w:val="pt-PT"/>
              </w:rPr>
              <w:t>Fi) na província de Nampula</w:t>
            </w:r>
          </w:p>
        </w:tc>
      </w:tr>
      <w:tr w14:paraId="5DCA3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12" w:type="dxa"/>
            <w:tcBorders>
              <w:top w:val="single" w:color="auto" w:sz="4" w:space="0"/>
              <w:left w:val="single" w:color="auto" w:sz="4" w:space="0"/>
              <w:bottom w:val="single" w:color="auto" w:sz="4" w:space="0"/>
              <w:right w:val="single" w:color="auto" w:sz="4" w:space="0"/>
            </w:tcBorders>
            <w:noWrap/>
          </w:tcPr>
          <w:p w14:paraId="60079471">
            <w:pPr>
              <w:ind w:left="0"/>
              <w:jc w:val="both"/>
              <w:rPr>
                <w:rFonts w:hint="default" w:ascii="Calibri" w:hAnsi="Calibri" w:cs="Calibri"/>
                <w:color w:val="auto"/>
                <w:spacing w:val="0"/>
                <w:sz w:val="24"/>
                <w:szCs w:val="24"/>
                <w:lang w:val="pt-PT"/>
              </w:rPr>
            </w:pPr>
            <w:r>
              <w:rPr>
                <w:rFonts w:ascii="Calibri" w:hAnsi="Calibri" w:cs="Calibri"/>
                <w:color w:val="auto"/>
                <w:spacing w:val="0"/>
                <w:sz w:val="24"/>
                <w:szCs w:val="24"/>
                <w:lang w:val="pt-PT"/>
              </w:rPr>
              <w:t>MCMZ - S0</w:t>
            </w:r>
            <w:r>
              <w:rPr>
                <w:rFonts w:hint="default" w:ascii="Calibri" w:hAnsi="Calibri" w:cs="Calibri"/>
                <w:color w:val="auto"/>
                <w:spacing w:val="0"/>
                <w:sz w:val="24"/>
                <w:szCs w:val="24"/>
                <w:lang w:val="pt-PT"/>
              </w:rPr>
              <w:t>05</w:t>
            </w:r>
          </w:p>
        </w:tc>
        <w:tc>
          <w:tcPr>
            <w:tcW w:w="7457" w:type="dxa"/>
            <w:tcBorders>
              <w:top w:val="single" w:color="auto" w:sz="4" w:space="0"/>
              <w:left w:val="single" w:color="auto" w:sz="4" w:space="0"/>
              <w:bottom w:val="single" w:color="auto" w:sz="4" w:space="0"/>
              <w:right w:val="single" w:color="auto" w:sz="4" w:space="0"/>
            </w:tcBorders>
          </w:tcPr>
          <w:p w14:paraId="5508A79E">
            <w:pPr>
              <w:ind w:left="0"/>
              <w:jc w:val="both"/>
              <w:rPr>
                <w:rFonts w:ascii="Calibri" w:hAnsi="Calibri" w:eastAsia="Calibri" w:cs="Calibri"/>
                <w:color w:val="auto"/>
                <w:spacing w:val="0"/>
                <w:sz w:val="24"/>
                <w:szCs w:val="24"/>
                <w:lang w:val="pt-BR"/>
              </w:rPr>
            </w:pPr>
            <w:r>
              <w:rPr>
                <w:rFonts w:ascii="Calibri" w:hAnsi="Calibri" w:cs="Calibri"/>
                <w:color w:val="auto"/>
                <w:spacing w:val="0"/>
                <w:sz w:val="24"/>
                <w:szCs w:val="24"/>
                <w:lang w:val="pt-PT"/>
              </w:rPr>
              <w:t>Fornecimento de Combustível para MC nos seguintes Distritos:</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13"/>
              <w:gridCol w:w="3613"/>
            </w:tblGrid>
            <w:tr w14:paraId="63C29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3" w:type="dxa"/>
                </w:tcPr>
                <w:p w14:paraId="5F14B16E">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Rio Angoche</w:t>
                  </w:r>
                </w:p>
                <w:p w14:paraId="33517812">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Eráti</w:t>
                  </w:r>
                </w:p>
                <w:p w14:paraId="66508091">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Ilha de Moçambique</w:t>
                  </w:r>
                </w:p>
                <w:p w14:paraId="1D22B642">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Lalaua</w:t>
                  </w:r>
                </w:p>
                <w:p w14:paraId="446F63EB">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Rio Larde</w:t>
                  </w:r>
                </w:p>
                <w:p w14:paraId="560353DF">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Liupo</w:t>
                  </w:r>
                </w:p>
                <w:p w14:paraId="1B6DCC23">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Malema</w:t>
                  </w:r>
                </w:p>
                <w:p w14:paraId="7562C677">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Meconta</w:t>
                  </w:r>
                </w:p>
                <w:p w14:paraId="5FBB1CC4">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Mecubúri</w:t>
                  </w:r>
                </w:p>
                <w:p w14:paraId="2F41B84E">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Memba</w:t>
                  </w:r>
                </w:p>
                <w:p w14:paraId="27ED413D">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Rio Mogincual</w:t>
                  </w:r>
                </w:p>
                <w:p w14:paraId="12D50548">
                  <w:pPr>
                    <w:ind w:left="0"/>
                    <w:jc w:val="both"/>
                    <w:rPr>
                      <w:rFonts w:ascii="Calibri" w:hAnsi="Calibri" w:eastAsia="Calibri" w:cs="Calibri"/>
                      <w:color w:val="auto"/>
                      <w:spacing w:val="0"/>
                      <w:sz w:val="24"/>
                      <w:szCs w:val="24"/>
                      <w:lang w:val="en-US"/>
                    </w:rPr>
                  </w:pPr>
                </w:p>
              </w:tc>
              <w:tc>
                <w:tcPr>
                  <w:tcW w:w="3613" w:type="dxa"/>
                </w:tcPr>
                <w:p w14:paraId="74F5EBDE">
                  <w:pPr>
                    <w:ind w:left="0"/>
                    <w:jc w:val="both"/>
                    <w:rPr>
                      <w:rFonts w:ascii="Calibri" w:hAnsi="Calibri" w:eastAsia="Calibri" w:cs="Calibri"/>
                      <w:color w:val="auto"/>
                      <w:spacing w:val="0"/>
                      <w:sz w:val="24"/>
                      <w:szCs w:val="24"/>
                      <w:lang w:val="pt-BR"/>
                    </w:rPr>
                  </w:pPr>
                  <w:r>
                    <w:rPr>
                      <w:rFonts w:ascii="Calibri" w:hAnsi="Calibri" w:eastAsia="Calibri" w:cs="Calibri"/>
                      <w:color w:val="auto"/>
                      <w:spacing w:val="0"/>
                      <w:sz w:val="24"/>
                      <w:szCs w:val="24"/>
                      <w:lang w:val="pt-PT"/>
                    </w:rPr>
                    <w:t>Mogovolas</w:t>
                  </w:r>
                </w:p>
                <w:p w14:paraId="32ADCEAA">
                  <w:pPr>
                    <w:ind w:left="0"/>
                    <w:jc w:val="both"/>
                    <w:rPr>
                      <w:rFonts w:ascii="Calibri" w:hAnsi="Calibri" w:eastAsia="Calibri" w:cs="Calibri"/>
                      <w:color w:val="auto"/>
                      <w:spacing w:val="0"/>
                      <w:sz w:val="24"/>
                      <w:szCs w:val="24"/>
                      <w:lang w:val="pt-BR"/>
                    </w:rPr>
                  </w:pPr>
                  <w:r>
                    <w:rPr>
                      <w:rFonts w:ascii="Calibri" w:hAnsi="Calibri" w:eastAsia="Calibri" w:cs="Calibri"/>
                      <w:color w:val="auto"/>
                      <w:spacing w:val="0"/>
                      <w:sz w:val="24"/>
                      <w:szCs w:val="24"/>
                      <w:lang w:val="pt-PT"/>
                    </w:rPr>
                    <w:t>Moma</w:t>
                  </w:r>
                </w:p>
                <w:p w14:paraId="53126DCA">
                  <w:pPr>
                    <w:ind w:left="0"/>
                    <w:jc w:val="both"/>
                    <w:rPr>
                      <w:rFonts w:ascii="Calibri" w:hAnsi="Calibri" w:eastAsia="Calibri" w:cs="Calibri"/>
                      <w:color w:val="auto"/>
                      <w:spacing w:val="0"/>
                      <w:sz w:val="24"/>
                      <w:szCs w:val="24"/>
                      <w:lang w:val="pt-BR"/>
                    </w:rPr>
                  </w:pPr>
                  <w:r>
                    <w:rPr>
                      <w:rFonts w:ascii="Calibri" w:hAnsi="Calibri" w:eastAsia="Calibri" w:cs="Calibri"/>
                      <w:color w:val="auto"/>
                      <w:spacing w:val="0"/>
                      <w:sz w:val="24"/>
                      <w:szCs w:val="24"/>
                      <w:lang w:val="pt-PT"/>
                    </w:rPr>
                    <w:t>Monapo</w:t>
                  </w:r>
                </w:p>
                <w:p w14:paraId="5B0FD61E">
                  <w:pPr>
                    <w:ind w:left="0"/>
                    <w:jc w:val="both"/>
                    <w:rPr>
                      <w:rFonts w:ascii="Calibri" w:hAnsi="Calibri" w:eastAsia="Calibri" w:cs="Calibri"/>
                      <w:color w:val="auto"/>
                      <w:spacing w:val="0"/>
                      <w:sz w:val="24"/>
                      <w:szCs w:val="24"/>
                      <w:lang w:val="pt-BR"/>
                    </w:rPr>
                  </w:pPr>
                  <w:r>
                    <w:rPr>
                      <w:rFonts w:ascii="Calibri" w:hAnsi="Calibri" w:eastAsia="Calibri" w:cs="Calibri"/>
                      <w:color w:val="auto"/>
                      <w:spacing w:val="0"/>
                      <w:sz w:val="24"/>
                      <w:szCs w:val="24"/>
                      <w:lang w:val="pt-PT"/>
                    </w:rPr>
                    <w:t>Mossuril</w:t>
                  </w:r>
                </w:p>
                <w:p w14:paraId="33ACA7CE">
                  <w:pPr>
                    <w:ind w:left="0"/>
                    <w:jc w:val="both"/>
                    <w:rPr>
                      <w:rFonts w:ascii="Calibri" w:hAnsi="Calibri" w:eastAsia="Calibri" w:cs="Calibri"/>
                      <w:color w:val="auto"/>
                      <w:spacing w:val="0"/>
                      <w:sz w:val="24"/>
                      <w:szCs w:val="24"/>
                      <w:lang w:val="pt-BR"/>
                    </w:rPr>
                  </w:pPr>
                  <w:r>
                    <w:rPr>
                      <w:rFonts w:ascii="Calibri" w:hAnsi="Calibri" w:eastAsia="Calibri" w:cs="Calibri"/>
                      <w:color w:val="auto"/>
                      <w:spacing w:val="0"/>
                      <w:sz w:val="24"/>
                      <w:szCs w:val="24"/>
                      <w:lang w:val="pt-PT"/>
                    </w:rPr>
                    <w:t>Muecato</w:t>
                  </w:r>
                </w:p>
                <w:p w14:paraId="46C4D53C">
                  <w:pPr>
                    <w:ind w:left="0"/>
                    <w:jc w:val="both"/>
                    <w:rPr>
                      <w:rFonts w:ascii="Calibri" w:hAnsi="Calibri" w:eastAsia="Calibri" w:cs="Calibri"/>
                      <w:color w:val="auto"/>
                      <w:spacing w:val="0"/>
                      <w:sz w:val="24"/>
                      <w:szCs w:val="24"/>
                      <w:lang w:val="pt-BR"/>
                    </w:rPr>
                  </w:pPr>
                  <w:r>
                    <w:rPr>
                      <w:rFonts w:ascii="Calibri" w:hAnsi="Calibri" w:eastAsia="Calibri" w:cs="Calibri"/>
                      <w:color w:val="auto"/>
                      <w:spacing w:val="0"/>
                      <w:sz w:val="24"/>
                      <w:szCs w:val="24"/>
                      <w:lang w:val="pt-PT"/>
                    </w:rPr>
                    <w:t>Rio Murrupula</w:t>
                  </w:r>
                </w:p>
                <w:p w14:paraId="0D9EB3A3">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Nacala-a-Velha</w:t>
                  </w:r>
                </w:p>
                <w:p w14:paraId="5EEAD68D">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Nacala-Porto</w:t>
                  </w:r>
                </w:p>
                <w:p w14:paraId="20138D90">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Nacarôa</w:t>
                  </w:r>
                </w:p>
                <w:p w14:paraId="4AFE32DF">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Nampula</w:t>
                  </w:r>
                </w:p>
                <w:p w14:paraId="49CCF6ED">
                  <w:pPr>
                    <w:ind w:left="0"/>
                    <w:jc w:val="both"/>
                    <w:rPr>
                      <w:rFonts w:ascii="Calibri" w:hAnsi="Calibri" w:eastAsia="Calibri" w:cs="Calibri"/>
                      <w:color w:val="auto"/>
                      <w:spacing w:val="0"/>
                      <w:sz w:val="24"/>
                      <w:szCs w:val="24"/>
                      <w:lang w:val="fr-FR"/>
                    </w:rPr>
                  </w:pPr>
                  <w:r>
                    <w:rPr>
                      <w:rFonts w:ascii="Calibri" w:hAnsi="Calibri" w:eastAsia="Calibri" w:cs="Calibri"/>
                      <w:color w:val="auto"/>
                      <w:spacing w:val="0"/>
                      <w:sz w:val="24"/>
                      <w:szCs w:val="24"/>
                      <w:lang w:val="pt-PT"/>
                    </w:rPr>
                    <w:t>Rapale</w:t>
                  </w:r>
                </w:p>
                <w:p w14:paraId="13A79E27">
                  <w:pPr>
                    <w:ind w:left="0"/>
                    <w:jc w:val="both"/>
                    <w:rPr>
                      <w:rFonts w:ascii="Calibri" w:hAnsi="Calibri" w:eastAsia="Calibri" w:cs="Calibri"/>
                      <w:color w:val="auto"/>
                      <w:spacing w:val="0"/>
                      <w:sz w:val="24"/>
                      <w:szCs w:val="24"/>
                      <w:lang w:val="en-US"/>
                    </w:rPr>
                  </w:pPr>
                  <w:r>
                    <w:rPr>
                      <w:rFonts w:ascii="Calibri" w:hAnsi="Calibri" w:eastAsia="Calibri" w:cs="Calibri"/>
                      <w:color w:val="auto"/>
                      <w:spacing w:val="0"/>
                      <w:sz w:val="24"/>
                      <w:szCs w:val="24"/>
                      <w:lang w:val="pt-PT"/>
                    </w:rPr>
                    <w:t>Ribáuè</w:t>
                  </w:r>
                </w:p>
              </w:tc>
            </w:tr>
          </w:tbl>
          <w:p w14:paraId="46E9874E">
            <w:pPr>
              <w:ind w:left="0"/>
              <w:jc w:val="both"/>
              <w:rPr>
                <w:rFonts w:ascii="Calibri" w:hAnsi="Calibri" w:cs="Calibri"/>
                <w:color w:val="auto"/>
                <w:spacing w:val="0"/>
                <w:sz w:val="24"/>
                <w:szCs w:val="24"/>
                <w:lang w:val="pt-PT"/>
              </w:rPr>
            </w:pPr>
          </w:p>
        </w:tc>
      </w:tr>
    </w:tbl>
    <w:p w14:paraId="3A8D0511">
      <w:pPr>
        <w:ind w:left="0"/>
        <w:jc w:val="both"/>
        <w:rPr>
          <w:rFonts w:ascii="Calibri" w:hAnsi="Calibri" w:cs="Calibri"/>
          <w:sz w:val="24"/>
          <w:szCs w:val="24"/>
          <w:lang w:val="pt-PT"/>
        </w:rPr>
      </w:pPr>
    </w:p>
    <w:p w14:paraId="419AC724">
      <w:pPr>
        <w:pStyle w:val="5"/>
        <w:numPr>
          <w:ilvl w:val="0"/>
          <w:numId w:val="10"/>
        </w:numPr>
        <w:ind w:left="0" w:firstLine="0"/>
        <w:jc w:val="both"/>
        <w:rPr>
          <w:rFonts w:ascii="Calibri" w:hAnsi="Calibri" w:cs="Calibri"/>
          <w:sz w:val="24"/>
          <w:szCs w:val="24"/>
          <w:lang w:val="pt-PT"/>
        </w:rPr>
      </w:pPr>
      <w:r>
        <w:rPr>
          <w:rFonts w:ascii="Calibri" w:hAnsi="Calibri" w:cs="Calibri"/>
          <w:sz w:val="24"/>
          <w:szCs w:val="24"/>
          <w:lang w:val="pt-PT"/>
        </w:rPr>
        <w:t xml:space="preserve">Condições de Pagamento </w:t>
      </w:r>
    </w:p>
    <w:p w14:paraId="419AC725">
      <w:pPr>
        <w:jc w:val="both"/>
        <w:rPr>
          <w:rFonts w:ascii="Calibri" w:hAnsi="Calibri" w:cs="Calibri"/>
          <w:sz w:val="24"/>
          <w:szCs w:val="24"/>
          <w:lang w:val="pt-PT"/>
        </w:rPr>
      </w:pPr>
    </w:p>
    <w:p w14:paraId="419AC727">
      <w:pPr>
        <w:pStyle w:val="31"/>
        <w:numPr>
          <w:ilvl w:val="-1"/>
          <w:numId w:val="0"/>
        </w:numPr>
        <w:ind w:left="0" w:firstLine="0"/>
        <w:jc w:val="both"/>
        <w:rPr>
          <w:rFonts w:hint="default" w:cs="Calibri"/>
          <w:sz w:val="24"/>
          <w:szCs w:val="24"/>
          <w:lang w:val="pt-PT"/>
        </w:rPr>
      </w:pPr>
      <w:r>
        <w:rPr>
          <w:rFonts w:ascii="Calibri" w:hAnsi="Calibri" w:cs="Calibri"/>
          <w:sz w:val="24"/>
          <w:szCs w:val="24"/>
        </w:rPr>
        <w:t xml:space="preserve">A Malária Consortium efetuará o pagamento </w:t>
      </w:r>
      <w:r>
        <w:rPr>
          <w:rFonts w:hint="default" w:cs="Calibri"/>
          <w:sz w:val="24"/>
          <w:szCs w:val="24"/>
          <w:lang w:val="pt-PT"/>
        </w:rPr>
        <w:t xml:space="preserve">durante </w:t>
      </w:r>
      <w:r>
        <w:rPr>
          <w:rFonts w:ascii="Calibri" w:hAnsi="Calibri" w:cs="Calibri"/>
          <w:sz w:val="24"/>
          <w:szCs w:val="24"/>
        </w:rPr>
        <w:t>30 dias após a apresentação dos seguintes documentos, descrevendo eventuais deduções por perda, dano ou atraso na entrega</w:t>
      </w:r>
      <w:r>
        <w:rPr>
          <w:rFonts w:hint="default" w:cs="Calibri"/>
          <w:sz w:val="24"/>
          <w:szCs w:val="24"/>
          <w:lang w:val="pt-PT"/>
        </w:rPr>
        <w:t>.</w:t>
      </w:r>
    </w:p>
    <w:p w14:paraId="4CFDEFFB">
      <w:pPr>
        <w:pStyle w:val="31"/>
        <w:numPr>
          <w:ilvl w:val="-1"/>
          <w:numId w:val="0"/>
        </w:numPr>
        <w:ind w:left="0" w:firstLine="0"/>
        <w:jc w:val="both"/>
        <w:rPr>
          <w:rFonts w:hint="default" w:cs="Calibri"/>
          <w:sz w:val="24"/>
          <w:szCs w:val="24"/>
          <w:lang w:val="pt-PT"/>
        </w:rPr>
      </w:pPr>
    </w:p>
    <w:p w14:paraId="419AC729">
      <w:pPr>
        <w:pStyle w:val="31"/>
        <w:numPr>
          <w:ilvl w:val="0"/>
          <w:numId w:val="11"/>
        </w:numPr>
        <w:jc w:val="both"/>
        <w:rPr>
          <w:sz w:val="24"/>
          <w:szCs w:val="24"/>
        </w:rPr>
      </w:pPr>
      <w:r>
        <w:rPr>
          <w:sz w:val="24"/>
          <w:szCs w:val="24"/>
        </w:rPr>
        <w:t>Notas de Entrega e de Recebimento;</w:t>
      </w:r>
    </w:p>
    <w:p w14:paraId="419AC72C">
      <w:pPr>
        <w:pStyle w:val="31"/>
        <w:numPr>
          <w:ilvl w:val="0"/>
          <w:numId w:val="11"/>
        </w:numPr>
        <w:jc w:val="both"/>
        <w:rPr>
          <w:rFonts w:ascii="Calibri" w:hAnsi="Calibri" w:eastAsia="Calibri" w:cs="Calibri"/>
          <w:color w:val="EE0000"/>
          <w:spacing w:val="0"/>
          <w:sz w:val="24"/>
          <w:szCs w:val="24"/>
          <w:lang w:val="pt-PT"/>
        </w:rPr>
      </w:pPr>
      <w:r>
        <w:rPr>
          <w:sz w:val="24"/>
          <w:szCs w:val="24"/>
        </w:rPr>
        <w:t>Fatura(s) comercial fiscalmente valida;</w:t>
      </w:r>
    </w:p>
    <w:p w14:paraId="41E20A0D">
      <w:pPr>
        <w:pStyle w:val="31"/>
        <w:numPr>
          <w:ilvl w:val="0"/>
          <w:numId w:val="0"/>
        </w:numPr>
        <w:ind w:left="1080" w:leftChars="0"/>
        <w:jc w:val="both"/>
        <w:rPr>
          <w:rFonts w:ascii="Calibri" w:hAnsi="Calibri" w:eastAsia="Calibri" w:cs="Calibri"/>
          <w:color w:val="EE0000"/>
          <w:spacing w:val="0"/>
          <w:sz w:val="24"/>
          <w:szCs w:val="24"/>
          <w:lang w:val="pt-PT"/>
        </w:rPr>
      </w:pPr>
    </w:p>
    <w:p w14:paraId="419AC72D">
      <w:pPr>
        <w:pStyle w:val="31"/>
        <w:numPr>
          <w:ilvl w:val="-1"/>
          <w:numId w:val="0"/>
        </w:numPr>
        <w:ind w:left="0" w:firstLine="0"/>
        <w:jc w:val="both"/>
        <w:rPr>
          <w:rFonts w:ascii="Calibri" w:hAnsi="Calibri" w:cs="Calibri"/>
          <w:sz w:val="24"/>
          <w:szCs w:val="24"/>
        </w:rPr>
      </w:pPr>
      <w:r>
        <w:rPr>
          <w:rFonts w:hint="default" w:cs="Calibri"/>
          <w:sz w:val="24"/>
          <w:szCs w:val="24"/>
          <w:lang w:val="pt-PT"/>
        </w:rPr>
        <w:t>O</w:t>
      </w:r>
      <w:r>
        <w:rPr>
          <w:rFonts w:ascii="Calibri" w:hAnsi="Calibri" w:cs="Calibri"/>
          <w:sz w:val="24"/>
          <w:szCs w:val="24"/>
        </w:rPr>
        <w:t>s pagamentos serão feitos por transferência bancária ou cheque em moeda local.</w:t>
      </w:r>
    </w:p>
    <w:p w14:paraId="419AC72E">
      <w:pPr>
        <w:ind w:left="0"/>
        <w:jc w:val="both"/>
        <w:rPr>
          <w:rFonts w:ascii="Calibri" w:hAnsi="Calibri" w:eastAsia="Calibri" w:cs="Calibri"/>
          <w:color w:val="000000" w:themeColor="text1"/>
          <w:sz w:val="24"/>
          <w:szCs w:val="24"/>
          <w:lang w:val="pt-PT"/>
          <w14:textFill>
            <w14:solidFill>
              <w14:schemeClr w14:val="tx1"/>
            </w14:solidFill>
          </w14:textFill>
        </w:rPr>
      </w:pPr>
    </w:p>
    <w:p w14:paraId="419AC731">
      <w:pPr>
        <w:pStyle w:val="5"/>
        <w:numPr>
          <w:ilvl w:val="0"/>
          <w:numId w:val="10"/>
        </w:numPr>
        <w:ind w:left="0" w:firstLine="0"/>
        <w:jc w:val="both"/>
        <w:rPr>
          <w:rFonts w:ascii="Calibri" w:hAnsi="Calibri" w:cs="Calibri"/>
          <w:sz w:val="24"/>
          <w:szCs w:val="24"/>
          <w:lang w:val="pt-PT"/>
        </w:rPr>
      </w:pPr>
      <w:r>
        <w:rPr>
          <w:rFonts w:ascii="Calibri" w:hAnsi="Calibri" w:cs="Calibri"/>
          <w:sz w:val="24"/>
          <w:szCs w:val="24"/>
          <w:lang w:val="pt-PT"/>
        </w:rPr>
        <w:t xml:space="preserve">Critérios de avaliação de RFP  </w:t>
      </w:r>
    </w:p>
    <w:p w14:paraId="419AC732">
      <w:pPr>
        <w:ind w:left="0"/>
        <w:jc w:val="both"/>
        <w:rPr>
          <w:rFonts w:ascii="Calibri" w:hAnsi="Calibri" w:cs="Calibri"/>
          <w:sz w:val="24"/>
          <w:szCs w:val="24"/>
          <w:lang w:val="pt-PT"/>
        </w:rPr>
      </w:pPr>
      <w:r>
        <w:rPr>
          <w:rFonts w:ascii="Calibri" w:hAnsi="Calibri" w:cs="Calibri"/>
          <w:b/>
          <w:smallCaps/>
          <w:sz w:val="24"/>
          <w:szCs w:val="24"/>
          <w:lang w:val="pt-PT"/>
        </w:rPr>
        <w:tab/>
      </w:r>
      <w:r>
        <w:rPr>
          <w:rFonts w:ascii="Calibri" w:hAnsi="Calibri" w:cs="Calibri"/>
          <w:b/>
          <w:smallCaps/>
          <w:sz w:val="24"/>
          <w:szCs w:val="24"/>
          <w:lang w:val="pt-PT"/>
        </w:rPr>
        <w:tab/>
      </w:r>
      <w:r>
        <w:rPr>
          <w:rFonts w:ascii="Calibri" w:hAnsi="Calibri" w:cs="Calibri"/>
          <w:b/>
          <w:sz w:val="24"/>
          <w:szCs w:val="24"/>
          <w:lang w:val="pt-PT"/>
        </w:rPr>
        <w:tab/>
      </w:r>
      <w:r>
        <w:rPr>
          <w:rFonts w:ascii="Calibri" w:hAnsi="Calibri" w:cs="Calibri"/>
          <w:b/>
          <w:sz w:val="24"/>
          <w:szCs w:val="24"/>
          <w:lang w:val="pt-PT"/>
        </w:rPr>
        <w:tab/>
      </w:r>
      <w:r>
        <w:rPr>
          <w:rFonts w:ascii="Calibri" w:hAnsi="Calibri" w:cs="Calibri"/>
          <w:b/>
          <w:sz w:val="24"/>
          <w:szCs w:val="24"/>
          <w:lang w:val="pt-PT"/>
        </w:rPr>
        <w:tab/>
      </w:r>
      <w:r>
        <w:rPr>
          <w:rFonts w:ascii="Calibri" w:hAnsi="Calibri" w:cs="Calibri"/>
          <w:b/>
          <w:sz w:val="24"/>
          <w:szCs w:val="24"/>
          <w:lang w:val="pt-PT"/>
        </w:rPr>
        <w:tab/>
      </w:r>
      <w:r>
        <w:rPr>
          <w:rFonts w:ascii="Calibri" w:hAnsi="Calibri" w:cs="Calibri"/>
          <w:b/>
          <w:sz w:val="24"/>
          <w:szCs w:val="24"/>
          <w:lang w:val="pt-PT"/>
        </w:rPr>
        <w:tab/>
      </w:r>
      <w:r>
        <w:rPr>
          <w:rFonts w:ascii="Calibri" w:hAnsi="Calibri" w:cs="Calibri"/>
          <w:b/>
          <w:sz w:val="24"/>
          <w:szCs w:val="24"/>
          <w:lang w:val="pt-PT"/>
        </w:rPr>
        <w:tab/>
      </w:r>
      <w:r>
        <w:rPr>
          <w:rFonts w:ascii="Calibri" w:hAnsi="Calibri" w:cs="Calibri"/>
          <w:b/>
          <w:sz w:val="24"/>
          <w:szCs w:val="24"/>
          <w:lang w:val="pt-PT"/>
        </w:rPr>
        <w:tab/>
      </w:r>
      <w:r>
        <w:rPr>
          <w:rFonts w:ascii="Calibri" w:hAnsi="Calibri" w:cs="Calibri"/>
          <w:b/>
          <w:sz w:val="24"/>
          <w:szCs w:val="24"/>
          <w:lang w:val="pt-PT"/>
        </w:rPr>
        <w:t xml:space="preserve">                     </w:t>
      </w:r>
    </w:p>
    <w:tbl>
      <w:tblPr>
        <w:tblStyle w:val="7"/>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5"/>
        <w:gridCol w:w="1465"/>
      </w:tblGrid>
      <w:tr w14:paraId="419AC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8215" w:type="dxa"/>
            <w:vAlign w:val="center"/>
          </w:tcPr>
          <w:p w14:paraId="419AC733">
            <w:pPr>
              <w:ind w:left="0"/>
              <w:jc w:val="both"/>
              <w:rPr>
                <w:rFonts w:ascii="Calibri" w:hAnsi="Calibri" w:eastAsia="Calibri" w:cs="Calibri"/>
                <w:b/>
                <w:bCs/>
                <w:sz w:val="24"/>
                <w:szCs w:val="24"/>
                <w:lang w:val="pt-PT"/>
              </w:rPr>
            </w:pPr>
            <w:r>
              <w:rPr>
                <w:rFonts w:ascii="Calibri" w:hAnsi="Calibri" w:eastAsia="Calibri" w:cs="Calibri"/>
                <w:b/>
                <w:bCs/>
                <w:sz w:val="24"/>
                <w:szCs w:val="24"/>
                <w:lang w:val="pt-PT"/>
              </w:rPr>
              <w:t xml:space="preserve">Critérios de pré-seleção </w:t>
            </w:r>
            <w:r>
              <w:rPr>
                <w:rFonts w:ascii="Calibri" w:hAnsi="Calibri" w:eastAsia="Calibri" w:cs="Calibri"/>
                <w:sz w:val="24"/>
                <w:szCs w:val="24"/>
                <w:lang w:val="pt-PT"/>
              </w:rPr>
              <w:t xml:space="preserve">(a não submissão dos documentos abaixo desqualifica uma proposta de uma análise mais aprofundada) </w:t>
            </w:r>
          </w:p>
        </w:tc>
        <w:tc>
          <w:tcPr>
            <w:tcW w:w="1465" w:type="dxa"/>
            <w:vAlign w:val="center"/>
          </w:tcPr>
          <w:p w14:paraId="419AC734">
            <w:pPr>
              <w:ind w:left="0"/>
              <w:jc w:val="both"/>
              <w:rPr>
                <w:rFonts w:ascii="Calibri" w:hAnsi="Calibri" w:eastAsia="Calibri" w:cs="Calibri"/>
                <w:b/>
                <w:sz w:val="24"/>
                <w:szCs w:val="24"/>
                <w:lang w:val="pt-PT"/>
              </w:rPr>
            </w:pPr>
          </w:p>
        </w:tc>
      </w:tr>
      <w:tr w14:paraId="419A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8215" w:type="dxa"/>
            <w:vAlign w:val="center"/>
          </w:tcPr>
          <w:p w14:paraId="419AC736">
            <w:pPr>
              <w:numPr>
                <w:ilvl w:val="0"/>
                <w:numId w:val="12"/>
              </w:numPr>
              <w:jc w:val="both"/>
              <w:rPr>
                <w:rFonts w:ascii="Calibri" w:hAnsi="Calibri" w:eastAsia="Calibri" w:cs="Calibri"/>
                <w:sz w:val="24"/>
                <w:szCs w:val="24"/>
                <w:lang w:val="pt-PT"/>
              </w:rPr>
            </w:pPr>
            <w:r>
              <w:rPr>
                <w:rFonts w:ascii="Calibri" w:hAnsi="Calibri" w:eastAsia="Calibri" w:cs="Calibri"/>
                <w:sz w:val="24"/>
                <w:szCs w:val="24"/>
                <w:lang w:val="pt-PT"/>
              </w:rPr>
              <w:t xml:space="preserve">Assinatura e carimbo deste documento (EOI) a demonstrar o conhecimento acerca das Políticas da Malária Consortium e os Termos e Condições de Compra. </w:t>
            </w:r>
          </w:p>
        </w:tc>
        <w:tc>
          <w:tcPr>
            <w:tcW w:w="1465" w:type="dxa"/>
            <w:vAlign w:val="center"/>
          </w:tcPr>
          <w:p w14:paraId="419AC737">
            <w:pPr>
              <w:ind w:left="0"/>
              <w:jc w:val="both"/>
              <w:rPr>
                <w:rFonts w:ascii="Calibri" w:hAnsi="Calibri" w:eastAsia="Calibri" w:cs="Calibri"/>
                <w:sz w:val="24"/>
                <w:szCs w:val="24"/>
                <w:lang w:val="pt-PT"/>
              </w:rPr>
            </w:pPr>
            <w:r>
              <w:rPr>
                <w:rFonts w:ascii="Calibri" w:hAnsi="Calibri" w:eastAsia="Calibri" w:cs="Calibri"/>
                <w:sz w:val="24"/>
                <w:szCs w:val="24"/>
                <w:lang w:val="pt-PT"/>
              </w:rPr>
              <w:t>Sim/Não</w:t>
            </w:r>
          </w:p>
        </w:tc>
      </w:tr>
      <w:tr w14:paraId="419AC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8215" w:type="dxa"/>
            <w:vAlign w:val="center"/>
          </w:tcPr>
          <w:p w14:paraId="419AC739">
            <w:pPr>
              <w:numPr>
                <w:ilvl w:val="0"/>
                <w:numId w:val="12"/>
              </w:numPr>
              <w:jc w:val="both"/>
              <w:rPr>
                <w:rFonts w:ascii="Calibri" w:hAnsi="Calibri" w:eastAsia="Calibri" w:cs="Calibri"/>
                <w:sz w:val="24"/>
                <w:szCs w:val="24"/>
                <w:lang w:val="pt-PT"/>
              </w:rPr>
            </w:pPr>
            <w:r>
              <w:rPr>
                <w:rFonts w:ascii="Calibri" w:hAnsi="Calibri" w:eastAsia="Calibri" w:cs="Calibri"/>
                <w:sz w:val="24"/>
                <w:szCs w:val="24"/>
                <w:lang w:val="pt-PT"/>
              </w:rPr>
              <w:t xml:space="preserve">Preenchimento do Bidder Responder Documento (BRD) assinado e carimbado  </w:t>
            </w:r>
          </w:p>
        </w:tc>
        <w:tc>
          <w:tcPr>
            <w:tcW w:w="1465" w:type="dxa"/>
            <w:vAlign w:val="center"/>
          </w:tcPr>
          <w:p w14:paraId="419AC73A">
            <w:pPr>
              <w:ind w:left="0"/>
              <w:jc w:val="both"/>
              <w:rPr>
                <w:rFonts w:ascii="Calibri" w:hAnsi="Calibri" w:eastAsia="Calibri" w:cs="Calibri"/>
                <w:sz w:val="24"/>
                <w:szCs w:val="24"/>
                <w:lang w:val="pt-PT"/>
              </w:rPr>
            </w:pPr>
            <w:r>
              <w:rPr>
                <w:rFonts w:ascii="Calibri" w:hAnsi="Calibri" w:eastAsia="Calibri" w:cs="Calibri"/>
                <w:sz w:val="24"/>
                <w:szCs w:val="24"/>
                <w:lang w:val="pt-PT"/>
              </w:rPr>
              <w:t>Sim/Não</w:t>
            </w:r>
          </w:p>
        </w:tc>
      </w:tr>
      <w:tr w14:paraId="419AC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8215" w:type="dxa"/>
            <w:vAlign w:val="center"/>
          </w:tcPr>
          <w:p w14:paraId="419AC73C">
            <w:pPr>
              <w:numPr>
                <w:ilvl w:val="0"/>
                <w:numId w:val="12"/>
              </w:numPr>
              <w:jc w:val="both"/>
              <w:rPr>
                <w:rFonts w:ascii="Calibri" w:hAnsi="Calibri" w:eastAsia="Calibri" w:cs="Calibri"/>
                <w:sz w:val="24"/>
                <w:szCs w:val="24"/>
                <w:lang w:val="pt-PT"/>
              </w:rPr>
            </w:pPr>
            <w:r>
              <w:rPr>
                <w:rFonts w:ascii="Calibri" w:hAnsi="Calibri" w:eastAsia="Calibri" w:cs="Calibri"/>
                <w:sz w:val="24"/>
                <w:szCs w:val="24"/>
                <w:lang w:val="pt-PT"/>
              </w:rPr>
              <w:t>Cópia dos documentos de registo comercial (que prova o funcionamento legal</w:t>
            </w:r>
            <w:r>
              <w:rPr>
                <w:rFonts w:hint="default" w:ascii="Calibri" w:hAnsi="Calibri" w:eastAsia="Calibri" w:cs="Calibri"/>
                <w:sz w:val="24"/>
                <w:szCs w:val="24"/>
                <w:lang w:val="pt-PT"/>
              </w:rPr>
              <w:t xml:space="preserve"> da empresa </w:t>
            </w:r>
            <w:r>
              <w:rPr>
                <w:rFonts w:ascii="Calibri" w:hAnsi="Calibri" w:eastAsia="Calibri" w:cs="Calibri"/>
                <w:sz w:val="24"/>
                <w:szCs w:val="24"/>
                <w:lang w:val="pt-PT"/>
              </w:rPr>
              <w:t>no país).</w:t>
            </w:r>
          </w:p>
        </w:tc>
        <w:tc>
          <w:tcPr>
            <w:tcW w:w="1465" w:type="dxa"/>
            <w:vAlign w:val="center"/>
          </w:tcPr>
          <w:p w14:paraId="419AC73D">
            <w:pPr>
              <w:ind w:left="0"/>
              <w:jc w:val="both"/>
              <w:rPr>
                <w:rFonts w:ascii="Calibri" w:hAnsi="Calibri" w:eastAsia="Calibri" w:cs="Calibri"/>
                <w:sz w:val="24"/>
                <w:szCs w:val="24"/>
                <w:lang w:val="pt-PT"/>
              </w:rPr>
            </w:pPr>
            <w:r>
              <w:rPr>
                <w:rFonts w:ascii="Calibri" w:hAnsi="Calibri" w:eastAsia="Calibri" w:cs="Calibri"/>
                <w:sz w:val="24"/>
                <w:szCs w:val="24"/>
                <w:lang w:val="pt-PT"/>
              </w:rPr>
              <w:t>Sim/Não</w:t>
            </w:r>
          </w:p>
        </w:tc>
      </w:tr>
      <w:tr w14:paraId="419AC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8215" w:type="dxa"/>
            <w:vAlign w:val="center"/>
          </w:tcPr>
          <w:p w14:paraId="419AC73F">
            <w:pPr>
              <w:numPr>
                <w:ilvl w:val="0"/>
                <w:numId w:val="12"/>
              </w:numPr>
              <w:jc w:val="both"/>
              <w:rPr>
                <w:rFonts w:ascii="Calibri" w:hAnsi="Calibri" w:eastAsia="Calibri" w:cs="Calibri"/>
                <w:sz w:val="24"/>
                <w:szCs w:val="24"/>
                <w:lang w:val="pt-PT"/>
              </w:rPr>
            </w:pPr>
            <w:r>
              <w:rPr>
                <w:rFonts w:ascii="Calibri" w:hAnsi="Calibri" w:eastAsia="Calibri" w:cs="Calibri"/>
                <w:sz w:val="24"/>
                <w:szCs w:val="24"/>
                <w:lang w:val="pt-PT"/>
              </w:rPr>
              <w:t>Certidão de Quitação das Finanças e INSS actualizada.</w:t>
            </w:r>
          </w:p>
        </w:tc>
        <w:tc>
          <w:tcPr>
            <w:tcW w:w="1465" w:type="dxa"/>
            <w:vAlign w:val="center"/>
          </w:tcPr>
          <w:p w14:paraId="419AC740">
            <w:pPr>
              <w:ind w:left="0"/>
              <w:jc w:val="both"/>
              <w:rPr>
                <w:rFonts w:ascii="Calibri" w:hAnsi="Calibri" w:eastAsia="Calibri" w:cs="Calibri"/>
                <w:sz w:val="24"/>
                <w:szCs w:val="24"/>
                <w:lang w:val="pt-PT"/>
              </w:rPr>
            </w:pPr>
            <w:r>
              <w:rPr>
                <w:rFonts w:ascii="Calibri" w:hAnsi="Calibri" w:eastAsia="Calibri" w:cs="Calibri"/>
                <w:sz w:val="24"/>
                <w:szCs w:val="24"/>
                <w:lang w:val="pt-PT"/>
              </w:rPr>
              <w:t>Sim/Não</w:t>
            </w:r>
          </w:p>
        </w:tc>
      </w:tr>
      <w:tr w14:paraId="419AC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8215" w:type="dxa"/>
            <w:vAlign w:val="center"/>
          </w:tcPr>
          <w:p w14:paraId="419AC742">
            <w:pPr>
              <w:ind w:left="0"/>
              <w:jc w:val="both"/>
              <w:rPr>
                <w:rFonts w:ascii="Calibri" w:hAnsi="Calibri" w:eastAsia="Calibri" w:cs="Calibri"/>
                <w:b/>
                <w:sz w:val="24"/>
                <w:szCs w:val="24"/>
                <w:lang w:val="pt-PT"/>
              </w:rPr>
            </w:pPr>
            <w:r>
              <w:rPr>
                <w:rFonts w:ascii="Calibri" w:hAnsi="Calibri" w:eastAsia="Calibri" w:cs="Calibri"/>
                <w:b/>
                <w:sz w:val="24"/>
                <w:szCs w:val="24"/>
                <w:lang w:val="pt-PT"/>
              </w:rPr>
              <w:t xml:space="preserve">Critérios Técnicos </w:t>
            </w:r>
          </w:p>
        </w:tc>
        <w:tc>
          <w:tcPr>
            <w:tcW w:w="1465" w:type="dxa"/>
            <w:vAlign w:val="center"/>
          </w:tcPr>
          <w:p w14:paraId="419AC743">
            <w:pPr>
              <w:ind w:left="0"/>
              <w:jc w:val="both"/>
              <w:rPr>
                <w:rFonts w:ascii="Calibri" w:hAnsi="Calibri" w:eastAsia="Calibri" w:cs="Calibri"/>
                <w:b/>
                <w:sz w:val="24"/>
                <w:szCs w:val="24"/>
                <w:lang w:val="pt-PT"/>
              </w:rPr>
            </w:pPr>
            <w:r>
              <w:rPr>
                <w:rFonts w:ascii="Calibri" w:hAnsi="Calibri" w:eastAsia="Calibri" w:cs="Calibri"/>
                <w:b/>
                <w:color w:val="000000" w:themeColor="text1"/>
                <w:sz w:val="24"/>
                <w:szCs w:val="24"/>
                <w:lang w:val="pt-PT"/>
                <w14:textFill>
                  <w14:solidFill>
                    <w14:schemeClr w14:val="tx1"/>
                  </w14:solidFill>
                </w14:textFill>
              </w:rPr>
              <w:t>60%</w:t>
            </w:r>
          </w:p>
        </w:tc>
      </w:tr>
      <w:tr w14:paraId="419AC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5" w:type="dxa"/>
            <w:vAlign w:val="center"/>
          </w:tcPr>
          <w:p w14:paraId="419AC745">
            <w:pPr>
              <w:ind w:left="0"/>
              <w:jc w:val="both"/>
              <w:rPr>
                <w:rFonts w:ascii="Calibri" w:hAnsi="Calibri" w:eastAsia="Calibri" w:cs="Calibri"/>
                <w:spacing w:val="0"/>
                <w:sz w:val="24"/>
                <w:szCs w:val="24"/>
                <w:lang w:val="pt-PT"/>
              </w:rPr>
            </w:pPr>
            <w:r>
              <w:rPr>
                <w:rFonts w:ascii="Calibri" w:hAnsi="Calibri" w:eastAsia="Calibri" w:cs="Calibri"/>
                <w:spacing w:val="0"/>
                <w:sz w:val="24"/>
                <w:szCs w:val="24"/>
                <w:lang w:val="pt-PT"/>
              </w:rPr>
              <w:t xml:space="preserve">Proposta técnica </w:t>
            </w:r>
          </w:p>
          <w:p w14:paraId="419AC746">
            <w:pPr>
              <w:numPr>
                <w:ilvl w:val="0"/>
                <w:numId w:val="13"/>
              </w:numPr>
              <w:jc w:val="both"/>
              <w:rPr>
                <w:rFonts w:ascii="Calibri" w:hAnsi="Calibri" w:eastAsia="Calibri" w:cs="Calibri"/>
                <w:spacing w:val="0"/>
                <w:sz w:val="24"/>
                <w:szCs w:val="24"/>
                <w:lang w:val="pt-PT"/>
              </w:rPr>
            </w:pPr>
            <w:r>
              <w:rPr>
                <w:rFonts w:ascii="Calibri" w:hAnsi="Calibri" w:eastAsia="Calibri" w:cs="Calibri"/>
                <w:spacing w:val="0"/>
                <w:sz w:val="24"/>
                <w:szCs w:val="24"/>
                <w:lang w:val="pt-PT"/>
              </w:rPr>
              <w:t>Capacidade e recursos disponíveis para prestar o serviço (</w:t>
            </w:r>
            <w:r>
              <w:rPr>
                <w:rFonts w:ascii="Calibri" w:hAnsi="Calibri" w:eastAsia="Calibri" w:cs="Calibri"/>
                <w:color w:val="000000" w:themeColor="text1"/>
                <w:spacing w:val="0"/>
                <w:sz w:val="24"/>
                <w:szCs w:val="24"/>
                <w:lang w:val="pt-PT"/>
                <w14:textFill>
                  <w14:solidFill>
                    <w14:schemeClr w14:val="tx1"/>
                  </w14:solidFill>
                </w14:textFill>
              </w:rPr>
              <w:t>indicar os recursos disponíveis em sua empresa para prestar os serviços, bem como o mecanismo de comunicação para interação com a Malaria Consortium</w:t>
            </w:r>
            <w:r>
              <w:rPr>
                <w:rFonts w:ascii="Calibri" w:hAnsi="Calibri" w:eastAsia="Calibri" w:cs="Calibri"/>
                <w:spacing w:val="0"/>
                <w:sz w:val="24"/>
                <w:szCs w:val="24"/>
                <w:lang w:val="pt-PT"/>
              </w:rPr>
              <w:t>).</w:t>
            </w:r>
          </w:p>
          <w:p w14:paraId="419AC748">
            <w:pPr>
              <w:numPr>
                <w:ilvl w:val="0"/>
                <w:numId w:val="13"/>
              </w:numPr>
              <w:jc w:val="both"/>
              <w:rPr>
                <w:rFonts w:ascii="Calibri" w:hAnsi="Calibri" w:eastAsia="Calibri" w:cs="Calibri"/>
                <w:spacing w:val="0"/>
                <w:sz w:val="24"/>
                <w:szCs w:val="24"/>
                <w:lang w:val="pt-PT"/>
              </w:rPr>
            </w:pPr>
            <w:r>
              <w:rPr>
                <w:rFonts w:ascii="Calibri" w:hAnsi="Calibri" w:eastAsia="Calibri" w:cs="Calibri"/>
                <w:spacing w:val="0"/>
                <w:sz w:val="24"/>
                <w:szCs w:val="24"/>
                <w:lang w:val="pt-PT"/>
              </w:rPr>
              <w:t>Indicar as Províncias e Distritos em representação.</w:t>
            </w:r>
          </w:p>
          <w:p w14:paraId="419AC749">
            <w:pPr>
              <w:numPr>
                <w:ilvl w:val="0"/>
                <w:numId w:val="13"/>
              </w:numPr>
              <w:jc w:val="both"/>
              <w:rPr>
                <w:rFonts w:ascii="Calibri" w:hAnsi="Calibri" w:eastAsia="Calibri" w:cs="Calibri"/>
                <w:spacing w:val="0"/>
                <w:sz w:val="24"/>
                <w:szCs w:val="24"/>
                <w:lang w:val="pt-PT"/>
              </w:rPr>
            </w:pPr>
            <w:r>
              <w:rPr>
                <w:rFonts w:ascii="Calibri" w:hAnsi="Calibri" w:eastAsia="Calibri" w:cs="Calibri"/>
                <w:sz w:val="24"/>
                <w:szCs w:val="24"/>
                <w:lang w:val="pt-PT"/>
              </w:rPr>
              <w:t>Lista detalhada de todos os serviços oferecidos pelo estabelecimento.</w:t>
            </w:r>
          </w:p>
          <w:p w14:paraId="419AC74A">
            <w:pPr>
              <w:numPr>
                <w:ilvl w:val="0"/>
                <w:numId w:val="13"/>
              </w:numPr>
              <w:jc w:val="both"/>
              <w:rPr>
                <w:rFonts w:ascii="Calibri" w:hAnsi="Calibri" w:eastAsia="Calibri" w:cs="Calibri"/>
                <w:spacing w:val="0"/>
                <w:sz w:val="24"/>
                <w:szCs w:val="24"/>
                <w:lang w:val="pt-PT"/>
              </w:rPr>
            </w:pPr>
            <w:r>
              <w:rPr>
                <w:rFonts w:ascii="Calibri" w:hAnsi="Calibri" w:eastAsia="Calibri" w:cs="Calibri"/>
                <w:color w:val="000000" w:themeColor="text1"/>
                <w:sz w:val="24"/>
                <w:szCs w:val="24"/>
                <w:lang w:val="pt-PT"/>
                <w14:textFill>
                  <w14:solidFill>
                    <w14:schemeClr w14:val="tx1"/>
                  </w14:solidFill>
                </w14:textFill>
              </w:rPr>
              <w:t>Regulamentos interno da empresa.</w:t>
            </w:r>
          </w:p>
          <w:p w14:paraId="419AC74B">
            <w:pPr>
              <w:numPr>
                <w:ilvl w:val="0"/>
                <w:numId w:val="13"/>
              </w:numPr>
              <w:jc w:val="both"/>
              <w:rPr>
                <w:rFonts w:ascii="Calibri" w:hAnsi="Calibri" w:eastAsia="Calibri" w:cs="Calibri"/>
                <w:spacing w:val="0"/>
                <w:sz w:val="24"/>
                <w:szCs w:val="24"/>
                <w:lang w:val="pt-PT"/>
              </w:rPr>
            </w:pPr>
            <w:r>
              <w:rPr>
                <w:rFonts w:ascii="Calibri" w:hAnsi="Calibri" w:eastAsia="Calibri" w:cs="Calibri"/>
                <w:sz w:val="24"/>
                <w:szCs w:val="24"/>
                <w:lang w:val="pt-PT"/>
              </w:rPr>
              <w:t>Seguros relevante a área de atuaç</w:t>
            </w:r>
            <w:r>
              <w:rPr>
                <w:rFonts w:ascii="Calibri" w:hAnsi="Calibri" w:cs="Calibri"/>
                <w:sz w:val="24"/>
                <w:szCs w:val="24"/>
                <w:lang w:val="pt-PT"/>
              </w:rPr>
              <w:t>ão</w:t>
            </w:r>
            <w:r>
              <w:rPr>
                <w:rFonts w:ascii="Calibri" w:hAnsi="Calibri" w:eastAsia="Calibri" w:cs="Calibri"/>
                <w:sz w:val="24"/>
                <w:szCs w:val="24"/>
                <w:lang w:val="pt-PT"/>
              </w:rPr>
              <w:t>.</w:t>
            </w:r>
          </w:p>
        </w:tc>
        <w:tc>
          <w:tcPr>
            <w:tcW w:w="1465" w:type="dxa"/>
            <w:vAlign w:val="center"/>
          </w:tcPr>
          <w:p w14:paraId="419AC74C">
            <w:pPr>
              <w:ind w:left="0"/>
              <w:jc w:val="both"/>
              <w:rPr>
                <w:rFonts w:ascii="Calibri" w:hAnsi="Calibri" w:eastAsia="Calibri" w:cs="Calibri"/>
                <w:sz w:val="24"/>
                <w:szCs w:val="24"/>
                <w:lang w:val="pt-PT"/>
              </w:rPr>
            </w:pPr>
            <w:r>
              <w:rPr>
                <w:rFonts w:hint="default" w:ascii="Calibri" w:hAnsi="Calibri" w:eastAsia="Calibri" w:cs="Calibri"/>
                <w:sz w:val="24"/>
                <w:szCs w:val="24"/>
                <w:lang w:val="pt-PT"/>
              </w:rPr>
              <w:t>3</w:t>
            </w:r>
            <w:r>
              <w:rPr>
                <w:rFonts w:ascii="Calibri" w:hAnsi="Calibri" w:eastAsia="Calibri" w:cs="Calibri"/>
                <w:sz w:val="24"/>
                <w:szCs w:val="24"/>
                <w:lang w:val="pt-PT"/>
              </w:rPr>
              <w:t>0%</w:t>
            </w:r>
          </w:p>
        </w:tc>
      </w:tr>
      <w:tr w14:paraId="419AC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5" w:type="dxa"/>
            <w:vAlign w:val="center"/>
          </w:tcPr>
          <w:p w14:paraId="419AC74E">
            <w:pPr>
              <w:ind w:left="0"/>
              <w:jc w:val="both"/>
              <w:rPr>
                <w:rFonts w:ascii="Calibri" w:hAnsi="Calibri" w:eastAsia="Calibri" w:cs="Calibri"/>
                <w:b/>
                <w:bCs/>
                <w:sz w:val="24"/>
                <w:szCs w:val="24"/>
                <w:lang w:val="pt-PT"/>
              </w:rPr>
            </w:pPr>
            <w:r>
              <w:rPr>
                <w:rFonts w:ascii="Calibri" w:hAnsi="Calibri" w:eastAsia="Calibri" w:cs="Calibri"/>
                <w:b/>
                <w:bCs/>
                <w:sz w:val="24"/>
                <w:szCs w:val="24"/>
                <w:lang w:val="pt-PT"/>
              </w:rPr>
              <w:t>Experiência da Empresa</w:t>
            </w:r>
          </w:p>
          <w:p w14:paraId="419AC74F">
            <w:pPr>
              <w:numPr>
                <w:ilvl w:val="0"/>
                <w:numId w:val="14"/>
              </w:numPr>
              <w:jc w:val="both"/>
              <w:rPr>
                <w:rFonts w:ascii="Calibri" w:hAnsi="Calibri" w:eastAsia="Calibri" w:cs="Calibri"/>
                <w:spacing w:val="0"/>
                <w:sz w:val="24"/>
                <w:szCs w:val="24"/>
                <w:lang w:val="pt-PT"/>
              </w:rPr>
            </w:pPr>
            <w:r>
              <w:rPr>
                <w:rFonts w:ascii="Calibri" w:hAnsi="Calibri" w:eastAsia="Calibri" w:cs="Calibri"/>
                <w:spacing w:val="0"/>
                <w:sz w:val="24"/>
                <w:szCs w:val="24"/>
                <w:lang w:val="pt-PT"/>
              </w:rPr>
              <w:t>Relatar a</w:t>
            </w:r>
            <w:r>
              <w:rPr>
                <w:rFonts w:hint="default" w:ascii="Calibri" w:hAnsi="Calibri" w:eastAsia="Calibri" w:cs="Calibri"/>
                <w:spacing w:val="0"/>
                <w:sz w:val="24"/>
                <w:szCs w:val="24"/>
                <w:lang w:val="pt-PT"/>
              </w:rPr>
              <w:t xml:space="preserve"> </w:t>
            </w:r>
            <w:r>
              <w:rPr>
                <w:rFonts w:ascii="Calibri" w:hAnsi="Calibri" w:eastAsia="Calibri" w:cs="Calibri"/>
                <w:spacing w:val="0"/>
                <w:sz w:val="24"/>
                <w:szCs w:val="24"/>
                <w:lang w:val="pt-PT"/>
              </w:rPr>
              <w:t>cerca da experiência da empresa na prestação de serviços ou fornecimento de material, categoria a qual concorre.</w:t>
            </w:r>
          </w:p>
          <w:p w14:paraId="419AC750">
            <w:pPr>
              <w:numPr>
                <w:ilvl w:val="0"/>
                <w:numId w:val="14"/>
              </w:numPr>
              <w:jc w:val="both"/>
              <w:rPr>
                <w:rFonts w:ascii="Calibri" w:hAnsi="Calibri" w:eastAsia="Calibri" w:cs="Calibri"/>
                <w:spacing w:val="0"/>
                <w:sz w:val="24"/>
                <w:szCs w:val="24"/>
                <w:lang w:val="pt-PT"/>
              </w:rPr>
            </w:pPr>
            <w:r>
              <w:rPr>
                <w:rFonts w:ascii="Calibri" w:hAnsi="Calibri" w:eastAsia="Calibri" w:cs="Calibri"/>
                <w:spacing w:val="0"/>
                <w:sz w:val="24"/>
                <w:szCs w:val="24"/>
                <w:lang w:val="pt-PT"/>
              </w:rPr>
              <w:t>Pelo menos três referências de clientes relevantes que tenham contractos semelhantes ou que não tenham contractos mas tenham beneficiado dos seu</w:t>
            </w:r>
            <w:r>
              <w:rPr>
                <w:rFonts w:hint="default" w:ascii="Calibri" w:hAnsi="Calibri" w:eastAsia="Calibri" w:cs="Calibri"/>
                <w:spacing w:val="0"/>
                <w:sz w:val="24"/>
                <w:szCs w:val="24"/>
                <w:lang w:val="pt-PT"/>
              </w:rPr>
              <w:t>s</w:t>
            </w:r>
            <w:r>
              <w:rPr>
                <w:rFonts w:ascii="Calibri" w:hAnsi="Calibri" w:eastAsia="Calibri" w:cs="Calibri"/>
                <w:spacing w:val="0"/>
                <w:sz w:val="24"/>
                <w:szCs w:val="24"/>
                <w:lang w:val="pt-PT"/>
              </w:rPr>
              <w:t xml:space="preserve"> produtos e ou Serviços.</w:t>
            </w:r>
          </w:p>
        </w:tc>
        <w:tc>
          <w:tcPr>
            <w:tcW w:w="1465" w:type="dxa"/>
            <w:vAlign w:val="center"/>
          </w:tcPr>
          <w:p w14:paraId="419AC751">
            <w:pPr>
              <w:ind w:left="0"/>
              <w:jc w:val="both"/>
              <w:rPr>
                <w:rFonts w:ascii="Calibri" w:hAnsi="Calibri" w:eastAsia="Calibri" w:cs="Calibri"/>
                <w:sz w:val="24"/>
                <w:szCs w:val="24"/>
                <w:lang w:val="pt-PT"/>
              </w:rPr>
            </w:pPr>
            <w:r>
              <w:rPr>
                <w:rFonts w:hint="default" w:ascii="Calibri" w:hAnsi="Calibri" w:eastAsia="Calibri" w:cs="Calibri"/>
                <w:sz w:val="24"/>
                <w:szCs w:val="24"/>
                <w:lang w:val="pt-PT"/>
              </w:rPr>
              <w:t>2</w:t>
            </w:r>
            <w:r>
              <w:rPr>
                <w:rFonts w:ascii="Calibri" w:hAnsi="Calibri" w:eastAsia="Calibri" w:cs="Calibri"/>
                <w:sz w:val="24"/>
                <w:szCs w:val="24"/>
                <w:lang w:val="pt-PT"/>
              </w:rPr>
              <w:t>0%</w:t>
            </w:r>
          </w:p>
        </w:tc>
      </w:tr>
      <w:tr w14:paraId="419AC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5" w:type="dxa"/>
            <w:vAlign w:val="center"/>
          </w:tcPr>
          <w:p w14:paraId="419AC753">
            <w:pPr>
              <w:pStyle w:val="31"/>
              <w:jc w:val="both"/>
              <w:rPr>
                <w:sz w:val="24"/>
                <w:szCs w:val="24"/>
              </w:rPr>
            </w:pPr>
            <w:r>
              <w:rPr>
                <w:sz w:val="24"/>
                <w:szCs w:val="24"/>
              </w:rPr>
              <w:t>Tempo de resposta ap</w:t>
            </w:r>
            <w:r>
              <w:rPr>
                <w:rFonts w:hint="default" w:ascii="Calibri" w:hAnsi="Calibri" w:cs="Calibri"/>
                <w:sz w:val="24"/>
                <w:szCs w:val="24"/>
              </w:rPr>
              <w:t>ó</w:t>
            </w:r>
            <w:r>
              <w:rPr>
                <w:sz w:val="24"/>
                <w:szCs w:val="24"/>
              </w:rPr>
              <w:t xml:space="preserve">s solicitação do serviço </w:t>
            </w:r>
          </w:p>
        </w:tc>
        <w:tc>
          <w:tcPr>
            <w:tcW w:w="1465" w:type="dxa"/>
            <w:vAlign w:val="center"/>
          </w:tcPr>
          <w:p w14:paraId="419AC754">
            <w:pPr>
              <w:ind w:left="0"/>
              <w:jc w:val="both"/>
              <w:rPr>
                <w:rFonts w:ascii="Calibri" w:hAnsi="Calibri" w:eastAsia="Calibri" w:cs="Calibri"/>
                <w:sz w:val="24"/>
                <w:szCs w:val="24"/>
                <w:lang w:val="pt-PT"/>
              </w:rPr>
            </w:pPr>
            <w:r>
              <w:rPr>
                <w:rFonts w:ascii="Calibri" w:hAnsi="Calibri" w:eastAsia="Calibri" w:cs="Calibri"/>
                <w:sz w:val="24"/>
                <w:szCs w:val="24"/>
                <w:lang w:val="pt-PT"/>
              </w:rPr>
              <w:t>10%</w:t>
            </w:r>
          </w:p>
        </w:tc>
      </w:tr>
      <w:tr w14:paraId="419AC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5" w:type="dxa"/>
            <w:vAlign w:val="center"/>
          </w:tcPr>
          <w:p w14:paraId="419AC756">
            <w:pPr>
              <w:ind w:left="0"/>
              <w:jc w:val="both"/>
              <w:rPr>
                <w:rFonts w:ascii="Calibri" w:hAnsi="Calibri" w:eastAsia="Calibri" w:cs="Calibri"/>
                <w:sz w:val="24"/>
                <w:szCs w:val="24"/>
                <w:lang w:val="pt-PT"/>
              </w:rPr>
            </w:pPr>
            <w:r>
              <w:rPr>
                <w:rFonts w:ascii="Calibri" w:hAnsi="Calibri" w:eastAsia="Calibri" w:cs="Calibri"/>
                <w:b/>
                <w:sz w:val="24"/>
                <w:szCs w:val="24"/>
                <w:lang w:val="pt-PT"/>
              </w:rPr>
              <w:t>Critérios Financeiros</w:t>
            </w:r>
          </w:p>
        </w:tc>
        <w:tc>
          <w:tcPr>
            <w:tcW w:w="1465" w:type="dxa"/>
            <w:vAlign w:val="center"/>
          </w:tcPr>
          <w:p w14:paraId="419AC757">
            <w:pPr>
              <w:ind w:left="0"/>
              <w:jc w:val="both"/>
              <w:rPr>
                <w:rFonts w:ascii="Calibri" w:hAnsi="Calibri" w:eastAsia="Calibri" w:cs="Calibri"/>
                <w:b/>
                <w:bCs/>
                <w:sz w:val="24"/>
                <w:szCs w:val="24"/>
                <w:lang w:val="pt-PT"/>
              </w:rPr>
            </w:pPr>
            <w:r>
              <w:rPr>
                <w:rFonts w:ascii="Calibri" w:hAnsi="Calibri" w:eastAsia="Calibri" w:cs="Calibri"/>
                <w:b/>
                <w:bCs/>
                <w:color w:val="000000" w:themeColor="text1"/>
                <w:sz w:val="24"/>
                <w:szCs w:val="24"/>
                <w:lang w:val="pt-PT"/>
                <w14:textFill>
                  <w14:solidFill>
                    <w14:schemeClr w14:val="tx1"/>
                  </w14:solidFill>
                </w14:textFill>
              </w:rPr>
              <w:t>40%</w:t>
            </w:r>
          </w:p>
        </w:tc>
      </w:tr>
      <w:tr w14:paraId="419AC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5" w:type="dxa"/>
            <w:vAlign w:val="center"/>
          </w:tcPr>
          <w:p w14:paraId="419AC759">
            <w:pPr>
              <w:ind w:left="0"/>
              <w:jc w:val="both"/>
              <w:rPr>
                <w:sz w:val="24"/>
                <w:szCs w:val="24"/>
              </w:rPr>
            </w:pPr>
            <w:r>
              <w:rPr>
                <w:rFonts w:ascii="Calibri" w:hAnsi="Calibri" w:eastAsia="Calibri" w:cs="Calibri"/>
                <w:b/>
                <w:bCs/>
                <w:color w:val="000000" w:themeColor="text1"/>
                <w:sz w:val="24"/>
                <w:szCs w:val="24"/>
                <w:lang w:val="pt-PT"/>
                <w14:textFill>
                  <w14:solidFill>
                    <w14:schemeClr w14:val="tx1"/>
                  </w14:solidFill>
                </w14:textFill>
              </w:rPr>
              <w:t>Proposta financeira</w:t>
            </w:r>
          </w:p>
        </w:tc>
        <w:tc>
          <w:tcPr>
            <w:tcW w:w="1465" w:type="dxa"/>
            <w:vAlign w:val="center"/>
          </w:tcPr>
          <w:p w14:paraId="419AC75E">
            <w:pPr>
              <w:ind w:left="0"/>
              <w:jc w:val="both"/>
              <w:rPr>
                <w:rFonts w:ascii="Calibri" w:hAnsi="Calibri" w:eastAsia="Calibri" w:cs="Calibri"/>
                <w:b/>
                <w:bCs/>
                <w:sz w:val="24"/>
                <w:szCs w:val="24"/>
                <w:lang w:val="pt-PT"/>
              </w:rPr>
            </w:pPr>
          </w:p>
        </w:tc>
      </w:tr>
      <w:tr w14:paraId="419AC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5" w:type="dxa"/>
            <w:vAlign w:val="center"/>
          </w:tcPr>
          <w:p w14:paraId="419AC760">
            <w:pPr>
              <w:pStyle w:val="31"/>
              <w:jc w:val="both"/>
              <w:rPr>
                <w:rFonts w:ascii="Calibri" w:hAnsi="Calibri" w:cs="Calibri"/>
                <w:sz w:val="24"/>
                <w:szCs w:val="24"/>
              </w:rPr>
            </w:pPr>
            <w:r>
              <w:rPr>
                <w:sz w:val="24"/>
                <w:szCs w:val="24"/>
                <w:highlight w:val="none"/>
              </w:rPr>
              <w:t>Crédito – Pagamento de faturas no prazo mínimo de 30 dias</w:t>
            </w:r>
          </w:p>
        </w:tc>
        <w:tc>
          <w:tcPr>
            <w:tcW w:w="1465" w:type="dxa"/>
            <w:vAlign w:val="center"/>
          </w:tcPr>
          <w:p w14:paraId="419AC761">
            <w:pPr>
              <w:ind w:left="0"/>
              <w:jc w:val="both"/>
              <w:rPr>
                <w:rFonts w:ascii="Calibri" w:hAnsi="Calibri" w:eastAsia="Calibri" w:cs="Calibri"/>
                <w:b/>
                <w:bCs/>
                <w:sz w:val="24"/>
                <w:szCs w:val="24"/>
                <w:lang w:val="pt-PT"/>
              </w:rPr>
            </w:pPr>
            <w:r>
              <w:rPr>
                <w:rFonts w:ascii="Calibri" w:hAnsi="Calibri" w:eastAsia="Calibri" w:cs="Calibri"/>
                <w:sz w:val="24"/>
                <w:szCs w:val="24"/>
                <w:lang w:val="pt-PT"/>
              </w:rPr>
              <w:t>5%</w:t>
            </w:r>
          </w:p>
        </w:tc>
      </w:tr>
      <w:tr w14:paraId="419AC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5" w:type="dxa"/>
            <w:vAlign w:val="center"/>
          </w:tcPr>
          <w:p w14:paraId="419AC763">
            <w:pPr>
              <w:pStyle w:val="31"/>
              <w:jc w:val="both"/>
              <w:rPr>
                <w:sz w:val="24"/>
                <w:szCs w:val="24"/>
              </w:rPr>
            </w:pPr>
            <w:r>
              <w:rPr>
                <w:sz w:val="24"/>
                <w:szCs w:val="24"/>
              </w:rPr>
              <w:t>Comprovativo do pagamento de impostos (</w:t>
            </w:r>
            <w:r>
              <w:rPr>
                <w:b/>
                <w:bCs/>
                <w:sz w:val="24"/>
                <w:szCs w:val="24"/>
              </w:rPr>
              <w:t>IRPC/ISPC/IVA</w:t>
            </w:r>
            <w:r>
              <w:rPr>
                <w:sz w:val="24"/>
                <w:szCs w:val="24"/>
              </w:rPr>
              <w:t xml:space="preserve">) dos últimos 3 anos (2022, 2023, 2024) / Certidão de Quitação </w:t>
            </w:r>
            <w:r>
              <w:rPr>
                <w:b/>
                <w:bCs/>
                <w:sz w:val="24"/>
                <w:szCs w:val="24"/>
              </w:rPr>
              <w:t xml:space="preserve">Finanças </w:t>
            </w:r>
            <w:r>
              <w:rPr>
                <w:sz w:val="24"/>
                <w:szCs w:val="24"/>
              </w:rPr>
              <w:t>e</w:t>
            </w:r>
            <w:r>
              <w:rPr>
                <w:b/>
                <w:bCs/>
                <w:sz w:val="24"/>
                <w:szCs w:val="24"/>
              </w:rPr>
              <w:t xml:space="preserve"> INSS</w:t>
            </w:r>
            <w:r>
              <w:rPr>
                <w:sz w:val="24"/>
                <w:szCs w:val="24"/>
              </w:rPr>
              <w:t xml:space="preserve"> actualizada.</w:t>
            </w:r>
          </w:p>
        </w:tc>
        <w:tc>
          <w:tcPr>
            <w:tcW w:w="1465" w:type="dxa"/>
            <w:vAlign w:val="center"/>
          </w:tcPr>
          <w:p w14:paraId="419AC764">
            <w:pPr>
              <w:ind w:left="0"/>
              <w:jc w:val="both"/>
              <w:rPr>
                <w:rFonts w:ascii="Calibri" w:hAnsi="Calibri" w:eastAsia="Calibri" w:cs="Calibri"/>
                <w:sz w:val="24"/>
                <w:szCs w:val="24"/>
                <w:lang w:val="pt-PT"/>
              </w:rPr>
            </w:pPr>
            <w:r>
              <w:rPr>
                <w:rFonts w:hint="default" w:ascii="Calibri" w:hAnsi="Calibri" w:eastAsia="Calibri" w:cs="Calibri"/>
                <w:sz w:val="24"/>
                <w:szCs w:val="24"/>
                <w:lang w:val="pt-PT"/>
              </w:rPr>
              <w:t>3</w:t>
            </w:r>
            <w:r>
              <w:rPr>
                <w:rFonts w:ascii="Calibri" w:hAnsi="Calibri" w:eastAsia="Calibri" w:cs="Calibri"/>
                <w:sz w:val="24"/>
                <w:szCs w:val="24"/>
                <w:lang w:val="pt-PT"/>
              </w:rPr>
              <w:t>5%</w:t>
            </w:r>
          </w:p>
        </w:tc>
      </w:tr>
    </w:tbl>
    <w:p w14:paraId="419AC766">
      <w:pPr>
        <w:spacing w:after="200"/>
        <w:ind w:left="0"/>
        <w:jc w:val="both"/>
        <w:rPr>
          <w:rFonts w:ascii="Calibri" w:hAnsi="Calibri" w:cs="Calibri"/>
          <w:b/>
          <w:sz w:val="24"/>
          <w:szCs w:val="24"/>
          <w:lang w:val="pt-PT"/>
        </w:rPr>
      </w:pPr>
    </w:p>
    <w:p w14:paraId="419AC767">
      <w:pPr>
        <w:spacing w:after="200"/>
        <w:ind w:left="0"/>
        <w:jc w:val="both"/>
        <w:rPr>
          <w:rFonts w:ascii="Calibri" w:hAnsi="Calibri" w:cs="Calibri"/>
          <w:b/>
          <w:sz w:val="24"/>
          <w:szCs w:val="24"/>
          <w:lang w:val="pt-PT"/>
        </w:rPr>
      </w:pPr>
    </w:p>
    <w:p w14:paraId="419AC768">
      <w:pPr>
        <w:spacing w:after="200"/>
        <w:ind w:left="0"/>
        <w:jc w:val="both"/>
        <w:rPr>
          <w:rFonts w:ascii="Calibri" w:hAnsi="Calibri" w:cs="Calibri"/>
          <w:b/>
          <w:sz w:val="24"/>
          <w:szCs w:val="24"/>
          <w:lang w:val="pt-PT"/>
        </w:rPr>
      </w:pPr>
    </w:p>
    <w:p w14:paraId="419AC769">
      <w:pPr>
        <w:spacing w:after="200"/>
        <w:ind w:left="0"/>
        <w:jc w:val="both"/>
        <w:rPr>
          <w:rFonts w:ascii="Calibri" w:hAnsi="Calibri" w:cs="Calibri"/>
          <w:b/>
          <w:sz w:val="24"/>
          <w:szCs w:val="24"/>
          <w:lang w:val="pt-PT"/>
        </w:rPr>
      </w:pPr>
    </w:p>
    <w:p w14:paraId="419AC76A">
      <w:pPr>
        <w:spacing w:after="200"/>
        <w:ind w:left="0"/>
        <w:jc w:val="both"/>
        <w:rPr>
          <w:rFonts w:ascii="Calibri" w:hAnsi="Calibri" w:cs="Calibri"/>
          <w:b/>
          <w:sz w:val="24"/>
          <w:szCs w:val="24"/>
          <w:lang w:val="pt-PT"/>
        </w:rPr>
      </w:pPr>
    </w:p>
    <w:p w14:paraId="3B76443D">
      <w:pPr>
        <w:spacing w:after="200"/>
        <w:ind w:left="0"/>
        <w:jc w:val="both"/>
        <w:rPr>
          <w:rFonts w:ascii="Calibri" w:hAnsi="Calibri" w:cs="Calibri"/>
          <w:b/>
          <w:sz w:val="24"/>
          <w:szCs w:val="24"/>
          <w:lang w:val="pt-PT"/>
        </w:rPr>
      </w:pPr>
    </w:p>
    <w:p w14:paraId="419AC773">
      <w:pPr>
        <w:spacing w:after="200"/>
        <w:ind w:left="0"/>
        <w:jc w:val="both"/>
        <w:rPr>
          <w:rFonts w:ascii="Calibri" w:hAnsi="Calibri" w:cs="Calibri"/>
          <w:b/>
          <w:sz w:val="24"/>
          <w:szCs w:val="24"/>
          <w:lang w:val="pt-PT"/>
        </w:rPr>
      </w:pPr>
    </w:p>
    <w:p w14:paraId="419AC774">
      <w:pPr>
        <w:spacing w:after="200"/>
        <w:ind w:left="0"/>
        <w:jc w:val="both"/>
        <w:rPr>
          <w:rFonts w:ascii="Calibri" w:hAnsi="Calibri" w:cs="Calibri"/>
          <w:b/>
          <w:sz w:val="24"/>
          <w:szCs w:val="24"/>
          <w:lang w:val="pt-PT"/>
        </w:rPr>
      </w:pPr>
    </w:p>
    <w:p w14:paraId="12845D43">
      <w:pPr>
        <w:spacing w:after="200"/>
        <w:ind w:left="0"/>
        <w:jc w:val="both"/>
        <w:rPr>
          <w:rFonts w:ascii="Calibri" w:hAnsi="Calibri" w:cs="Calibri"/>
          <w:b/>
          <w:sz w:val="24"/>
          <w:szCs w:val="24"/>
          <w:lang w:val="pt-PT"/>
        </w:rPr>
      </w:pPr>
    </w:p>
    <w:p w14:paraId="7CCA3EB6">
      <w:pPr>
        <w:spacing w:after="200"/>
        <w:ind w:left="0"/>
        <w:jc w:val="both"/>
        <w:rPr>
          <w:rFonts w:ascii="Calibri" w:hAnsi="Calibri" w:cs="Calibri"/>
          <w:b/>
          <w:sz w:val="24"/>
          <w:szCs w:val="24"/>
          <w:lang w:val="pt-PT"/>
        </w:rPr>
      </w:pPr>
    </w:p>
    <w:p w14:paraId="134D8754">
      <w:pPr>
        <w:spacing w:after="200"/>
        <w:ind w:left="0"/>
        <w:jc w:val="center"/>
        <w:rPr>
          <w:rFonts w:ascii="Calibri" w:hAnsi="Calibri" w:cs="Calibri"/>
          <w:b/>
          <w:sz w:val="24"/>
          <w:szCs w:val="24"/>
          <w:lang w:val="pt-PT"/>
        </w:rPr>
      </w:pPr>
    </w:p>
    <w:p w14:paraId="79D4136C">
      <w:pPr>
        <w:spacing w:after="200"/>
        <w:ind w:left="0"/>
        <w:jc w:val="center"/>
        <w:rPr>
          <w:rFonts w:ascii="Calibri" w:hAnsi="Calibri" w:cs="Calibri"/>
          <w:b/>
          <w:sz w:val="24"/>
          <w:szCs w:val="24"/>
          <w:lang w:val="pt-PT"/>
        </w:rPr>
      </w:pPr>
    </w:p>
    <w:p w14:paraId="4215AD04">
      <w:pPr>
        <w:spacing w:after="200"/>
        <w:ind w:left="0"/>
        <w:jc w:val="center"/>
        <w:rPr>
          <w:rFonts w:ascii="Calibri" w:hAnsi="Calibri" w:cs="Calibri"/>
          <w:b/>
          <w:sz w:val="24"/>
          <w:szCs w:val="24"/>
          <w:lang w:val="pt-PT"/>
        </w:rPr>
      </w:pPr>
    </w:p>
    <w:p w14:paraId="02635E5A">
      <w:pPr>
        <w:spacing w:after="200"/>
        <w:ind w:left="0"/>
        <w:jc w:val="both"/>
        <w:rPr>
          <w:rFonts w:ascii="Calibri" w:hAnsi="Calibri" w:cs="Calibri"/>
          <w:b/>
          <w:sz w:val="24"/>
          <w:szCs w:val="24"/>
          <w:lang w:val="pt-PT"/>
        </w:rPr>
      </w:pPr>
    </w:p>
    <w:p w14:paraId="4D7D1587">
      <w:pPr>
        <w:spacing w:after="200"/>
        <w:ind w:left="0"/>
        <w:jc w:val="left"/>
        <w:rPr>
          <w:rFonts w:hint="default" w:ascii="Times New Roman" w:hAnsi="Times New Roman" w:cs="Times New Roman"/>
          <w:b/>
          <w:sz w:val="22"/>
          <w:lang w:val="pt-PT"/>
        </w:rPr>
      </w:pPr>
    </w:p>
    <w:p w14:paraId="419AC775">
      <w:pPr>
        <w:spacing w:after="200"/>
        <w:ind w:left="0"/>
        <w:jc w:val="center"/>
        <w:rPr>
          <w:rFonts w:hint="default" w:ascii="Times New Roman" w:hAnsi="Times New Roman" w:cs="Times New Roman"/>
          <w:b/>
          <w:sz w:val="22"/>
          <w:lang w:val="pt-PT"/>
        </w:rPr>
      </w:pPr>
      <w:r>
        <w:rPr>
          <w:rFonts w:hint="default" w:ascii="Times New Roman" w:hAnsi="Times New Roman" w:cs="Times New Roman"/>
          <w:b/>
          <w:sz w:val="22"/>
          <w:lang w:val="pt-PT"/>
        </w:rPr>
        <w:t>Termos e Condições de Compra do Consórcio Malária</w:t>
      </w:r>
    </w:p>
    <w:p w14:paraId="419AC776">
      <w:pPr>
        <w:spacing w:after="60"/>
        <w:jc w:val="left"/>
        <w:rPr>
          <w:rFonts w:hint="default" w:ascii="Times New Roman" w:hAnsi="Times New Roman" w:cs="Times New Roman"/>
          <w:b/>
          <w:sz w:val="18"/>
          <w:szCs w:val="15"/>
          <w:lang w:val="pt-PT"/>
        </w:rPr>
      </w:pPr>
    </w:p>
    <w:p w14:paraId="419AC777">
      <w:pPr>
        <w:numPr>
          <w:ilvl w:val="0"/>
          <w:numId w:val="15"/>
        </w:numPr>
        <w:spacing w:after="60"/>
        <w:ind w:left="431" w:hanging="431"/>
        <w:jc w:val="left"/>
        <w:rPr>
          <w:rFonts w:hint="default" w:ascii="Times New Roman" w:hAnsi="Times New Roman" w:cs="Times New Roman"/>
          <w:b/>
          <w:sz w:val="18"/>
          <w:szCs w:val="15"/>
          <w:lang w:val="pt-PT"/>
        </w:rPr>
      </w:pPr>
      <w:r>
        <w:rPr>
          <w:rFonts w:hint="default" w:ascii="Times New Roman" w:hAnsi="Times New Roman" w:cs="Times New Roman"/>
          <w:b/>
          <w:sz w:val="18"/>
          <w:szCs w:val="15"/>
          <w:lang w:val="pt-PT"/>
        </w:rPr>
        <w:t>Definições e interpretação</w:t>
      </w:r>
    </w:p>
    <w:p w14:paraId="419AC778">
      <w:pPr>
        <w:ind w:left="432"/>
        <w:jc w:val="both"/>
        <w:rPr>
          <w:rFonts w:hint="default" w:ascii="Times New Roman" w:hAnsi="Times New Roman" w:cs="Times New Roman"/>
          <w:b/>
          <w:sz w:val="18"/>
          <w:szCs w:val="15"/>
          <w:lang w:val="pt-PT"/>
        </w:rPr>
      </w:pPr>
      <w:r>
        <w:rPr>
          <w:rFonts w:hint="default" w:ascii="Times New Roman" w:hAnsi="Times New Roman" w:cs="Times New Roman"/>
          <w:sz w:val="18"/>
          <w:szCs w:val="15"/>
          <w:lang w:val="pt-PT"/>
        </w:rPr>
        <w:t xml:space="preserve">Estes termos e condições (as </w:t>
      </w:r>
      <w:r>
        <w:rPr>
          <w:rFonts w:hint="default" w:ascii="Times New Roman" w:hAnsi="Times New Roman" w:cs="Times New Roman"/>
          <w:b/>
          <w:sz w:val="18"/>
          <w:szCs w:val="15"/>
          <w:lang w:val="pt-PT"/>
        </w:rPr>
        <w:t>Condições</w:t>
      </w:r>
      <w:r>
        <w:rPr>
          <w:rFonts w:hint="default" w:ascii="Times New Roman" w:hAnsi="Times New Roman" w:cs="Times New Roman"/>
          <w:sz w:val="18"/>
          <w:szCs w:val="15"/>
          <w:lang w:val="pt-PT"/>
        </w:rPr>
        <w:t xml:space="preserve">) fazem parte do contrato entre o fornecedor (o </w:t>
      </w:r>
      <w:r>
        <w:rPr>
          <w:rFonts w:hint="default" w:ascii="Times New Roman" w:hAnsi="Times New Roman" w:cs="Times New Roman"/>
          <w:b/>
          <w:sz w:val="18"/>
          <w:szCs w:val="15"/>
          <w:lang w:val="pt-PT"/>
        </w:rPr>
        <w:t>Fornecedor</w:t>
      </w:r>
      <w:r>
        <w:rPr>
          <w:rFonts w:hint="default" w:ascii="Times New Roman" w:hAnsi="Times New Roman" w:cs="Times New Roman"/>
          <w:sz w:val="18"/>
          <w:szCs w:val="15"/>
          <w:lang w:val="pt-PT"/>
        </w:rPr>
        <w:t xml:space="preserve">) e o Consórcio da Malária ("Consórcio da Malária"), em relação ao pedido de compra ou Acordo (o </w:t>
      </w:r>
      <w:r>
        <w:rPr>
          <w:rFonts w:hint="default" w:ascii="Times New Roman" w:hAnsi="Times New Roman" w:cs="Times New Roman"/>
          <w:b/>
          <w:sz w:val="18"/>
          <w:szCs w:val="15"/>
          <w:lang w:val="pt-PT"/>
        </w:rPr>
        <w:t>Pedido</w:t>
      </w:r>
      <w:r>
        <w:rPr>
          <w:rFonts w:hint="default" w:ascii="Times New Roman" w:hAnsi="Times New Roman" w:cs="Times New Roman"/>
          <w:sz w:val="18"/>
          <w:szCs w:val="15"/>
          <w:lang w:val="pt-PT"/>
        </w:rPr>
        <w:t xml:space="preserve">) (o Pedido e as Condições são conjuntamente referidos como o </w:t>
      </w:r>
      <w:r>
        <w:rPr>
          <w:rFonts w:hint="default" w:ascii="Times New Roman" w:hAnsi="Times New Roman" w:cs="Times New Roman"/>
          <w:b/>
          <w:sz w:val="18"/>
          <w:szCs w:val="15"/>
          <w:lang w:val="pt-PT"/>
        </w:rPr>
        <w:t>Contrato</w:t>
      </w:r>
      <w:r>
        <w:rPr>
          <w:rFonts w:hint="default" w:ascii="Times New Roman" w:hAnsi="Times New Roman" w:cs="Times New Roman"/>
          <w:sz w:val="18"/>
          <w:szCs w:val="15"/>
          <w:lang w:val="pt-PT"/>
        </w:rPr>
        <w:t>). Os termos não definidos de outra forma neste documento terão o significado que lhes é dado na Encomenda aplicável.</w:t>
      </w:r>
    </w:p>
    <w:p w14:paraId="419AC779">
      <w:pPr>
        <w:jc w:val="left"/>
        <w:rPr>
          <w:rFonts w:hint="default" w:ascii="Times New Roman" w:hAnsi="Times New Roman" w:cs="Times New Roman"/>
          <w:b/>
          <w:sz w:val="18"/>
          <w:szCs w:val="15"/>
          <w:lang w:val="pt-PT"/>
        </w:rPr>
      </w:pPr>
    </w:p>
    <w:p w14:paraId="419AC77A">
      <w:pPr>
        <w:numPr>
          <w:ilvl w:val="0"/>
          <w:numId w:val="15"/>
        </w:numPr>
        <w:spacing w:after="60"/>
        <w:ind w:left="431" w:hanging="431"/>
        <w:jc w:val="left"/>
        <w:rPr>
          <w:rFonts w:hint="default" w:ascii="Times New Roman" w:hAnsi="Times New Roman" w:cs="Times New Roman"/>
          <w:b/>
          <w:sz w:val="18"/>
          <w:szCs w:val="15"/>
          <w:lang w:val="pt-PT"/>
        </w:rPr>
      </w:pPr>
      <w:r>
        <w:rPr>
          <w:rFonts w:hint="default" w:ascii="Times New Roman" w:hAnsi="Times New Roman" w:cs="Times New Roman"/>
          <w:b/>
          <w:sz w:val="18"/>
          <w:szCs w:val="15"/>
          <w:lang w:val="pt-PT"/>
        </w:rPr>
        <w:t>Qualidade e Defeitos</w:t>
      </w:r>
    </w:p>
    <w:p w14:paraId="419AC77B">
      <w:pPr>
        <w:numPr>
          <w:ilvl w:val="1"/>
          <w:numId w:val="15"/>
        </w:numPr>
        <w:tabs>
          <w:tab w:val="left" w:pos="426"/>
          <w:tab w:val="clear" w:pos="576"/>
        </w:tabs>
        <w:ind w:left="426" w:hanging="426"/>
        <w:jc w:val="both"/>
        <w:rPr>
          <w:rFonts w:hint="default" w:ascii="Times New Roman" w:hAnsi="Times New Roman" w:cs="Times New Roman"/>
          <w:b/>
          <w:sz w:val="18"/>
          <w:szCs w:val="15"/>
          <w:lang w:val="pt-PT"/>
        </w:rPr>
      </w:pPr>
      <w:r>
        <w:rPr>
          <w:rFonts w:hint="default" w:ascii="Times New Roman" w:hAnsi="Times New Roman" w:cs="Times New Roman"/>
          <w:sz w:val="18"/>
          <w:szCs w:val="15"/>
          <w:lang w:val="pt-PT"/>
        </w:rPr>
        <w:t>Os bens e/ou serviços devem, consoante o caso:</w:t>
      </w:r>
    </w:p>
    <w:p w14:paraId="419AC77C">
      <w:pPr>
        <w:numPr>
          <w:ilvl w:val="0"/>
          <w:numId w:val="16"/>
        </w:numPr>
        <w:autoSpaceDE w:val="0"/>
        <w:autoSpaceDN w:val="0"/>
        <w:adjustRightInd w:val="0"/>
        <w:jc w:val="both"/>
        <w:rPr>
          <w:rFonts w:hint="default" w:ascii="Times New Roman" w:hAnsi="Times New Roman" w:cs="Times New Roman"/>
          <w:sz w:val="18"/>
          <w:szCs w:val="15"/>
          <w:lang w:val="pt-PT" w:eastAsia="en-GB"/>
        </w:rPr>
      </w:pPr>
      <w:r>
        <w:rPr>
          <w:rFonts w:hint="default" w:ascii="Times New Roman" w:hAnsi="Times New Roman" w:cs="Times New Roman"/>
          <w:sz w:val="18"/>
          <w:szCs w:val="15"/>
          <w:lang w:val="pt-PT" w:eastAsia="en-GB"/>
        </w:rPr>
        <w:t>corresponder à sua descrição na Encomenda e a qualquer especificação aplicável;</w:t>
      </w:r>
    </w:p>
    <w:p w14:paraId="419AC77D">
      <w:pPr>
        <w:numPr>
          <w:ilvl w:val="0"/>
          <w:numId w:val="16"/>
        </w:numPr>
        <w:autoSpaceDE w:val="0"/>
        <w:autoSpaceDN w:val="0"/>
        <w:adjustRightInd w:val="0"/>
        <w:jc w:val="both"/>
        <w:rPr>
          <w:rFonts w:hint="default" w:ascii="Times New Roman" w:hAnsi="Times New Roman" w:cs="Times New Roman"/>
          <w:sz w:val="18"/>
          <w:szCs w:val="15"/>
          <w:lang w:val="pt-PT" w:eastAsia="en-GB"/>
        </w:rPr>
      </w:pPr>
      <w:r>
        <w:rPr>
          <w:rFonts w:hint="default" w:ascii="Times New Roman" w:hAnsi="Times New Roman" w:cs="Times New Roman"/>
          <w:sz w:val="18"/>
          <w:szCs w:val="15"/>
          <w:lang w:val="pt-PT" w:eastAsia="en-GB"/>
        </w:rPr>
        <w:t xml:space="preserve">cumprir todos os requisitos legais e regulamentares aplicáveis; </w:t>
      </w:r>
    </w:p>
    <w:p w14:paraId="419AC77E">
      <w:pPr>
        <w:numPr>
          <w:ilvl w:val="0"/>
          <w:numId w:val="16"/>
        </w:numPr>
        <w:autoSpaceDE w:val="0"/>
        <w:autoSpaceDN w:val="0"/>
        <w:adjustRightInd w:val="0"/>
        <w:jc w:val="both"/>
        <w:rPr>
          <w:rFonts w:hint="default" w:ascii="Times New Roman" w:hAnsi="Times New Roman" w:cs="Times New Roman"/>
          <w:sz w:val="18"/>
          <w:szCs w:val="15"/>
          <w:lang w:val="pt-PT" w:eastAsia="en-GB"/>
        </w:rPr>
      </w:pPr>
      <w:r>
        <w:rPr>
          <w:rFonts w:hint="default" w:ascii="Times New Roman" w:hAnsi="Times New Roman" w:cs="Times New Roman"/>
          <w:sz w:val="18"/>
          <w:szCs w:val="15"/>
          <w:lang w:val="pt-PT" w:eastAsia="en-GB"/>
        </w:rPr>
        <w:t xml:space="preserve">ser da mais alta qualidade e adequados a cada finalidade realizada pelo Fornecedor ou dada a conhecer ao Fornecedor pelo Consórcio da Malária; </w:t>
      </w:r>
    </w:p>
    <w:p w14:paraId="419AC77F">
      <w:pPr>
        <w:numPr>
          <w:ilvl w:val="0"/>
          <w:numId w:val="16"/>
        </w:numPr>
        <w:autoSpaceDE w:val="0"/>
        <w:autoSpaceDN w:val="0"/>
        <w:adjustRightInd w:val="0"/>
        <w:jc w:val="both"/>
        <w:rPr>
          <w:rFonts w:hint="default" w:ascii="Times New Roman" w:hAnsi="Times New Roman" w:cs="Times New Roman"/>
          <w:sz w:val="18"/>
          <w:szCs w:val="15"/>
          <w:lang w:val="pt-PT" w:eastAsia="en-GB"/>
        </w:rPr>
      </w:pPr>
      <w:r>
        <w:rPr>
          <w:rFonts w:hint="default" w:ascii="Times New Roman" w:hAnsi="Times New Roman" w:cs="Times New Roman"/>
          <w:sz w:val="18"/>
          <w:szCs w:val="15"/>
          <w:lang w:val="pt-PT"/>
        </w:rPr>
        <w:t>estar isentos de defeitos de conceção, material, fabrico e instalação; e ainda</w:t>
      </w:r>
    </w:p>
    <w:p w14:paraId="419AC780">
      <w:pPr>
        <w:numPr>
          <w:ilvl w:val="0"/>
          <w:numId w:val="16"/>
        </w:numPr>
        <w:autoSpaceDE w:val="0"/>
        <w:autoSpaceDN w:val="0"/>
        <w:adjustRightInd w:val="0"/>
        <w:spacing w:after="60"/>
        <w:ind w:left="1077" w:hanging="357"/>
        <w:jc w:val="both"/>
        <w:rPr>
          <w:rFonts w:hint="default" w:ascii="Times New Roman" w:hAnsi="Times New Roman" w:cs="Times New Roman"/>
          <w:sz w:val="18"/>
          <w:szCs w:val="15"/>
          <w:lang w:val="pt-PT" w:eastAsia="en-GB"/>
        </w:rPr>
      </w:pPr>
      <w:r>
        <w:rPr>
          <w:rFonts w:hint="default" w:ascii="Times New Roman" w:hAnsi="Times New Roman" w:cs="Times New Roman"/>
          <w:sz w:val="18"/>
          <w:szCs w:val="15"/>
          <w:lang w:val="pt-PT"/>
        </w:rPr>
        <w:t>ser realizada com o melhor cuidado, habilidade e diligência de acordo com as melhores práticas na indústria, profissão ou comércio do Fornecedor.</w:t>
      </w:r>
    </w:p>
    <w:p w14:paraId="419AC781">
      <w:pPr>
        <w:numPr>
          <w:ilvl w:val="1"/>
          <w:numId w:val="15"/>
        </w:numPr>
        <w:tabs>
          <w:tab w:val="left" w:pos="426"/>
          <w:tab w:val="clear" w:pos="576"/>
        </w:tabs>
        <w:ind w:left="426" w:hanging="426"/>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eastAsia="en-GB"/>
        </w:rPr>
        <w:t xml:space="preserve">O Consórcio Malária (incluindo os seus representantes ou agentes) reserva-se o direito de, a qualquer momento, sem aviso prévio, auditar os registos do Fornecedor, inspecionar os trabalhos que estão a ser realizados em relação ao fornecimento dos Bens e Serviços e, no caso dos Bens, testá-los.      </w:t>
      </w:r>
    </w:p>
    <w:p w14:paraId="419AC782">
      <w:pPr>
        <w:autoSpaceDE w:val="0"/>
        <w:autoSpaceDN w:val="0"/>
        <w:adjustRightInd w:val="0"/>
        <w:ind w:left="720"/>
        <w:jc w:val="left"/>
        <w:rPr>
          <w:rFonts w:hint="default" w:ascii="Times New Roman" w:hAnsi="Times New Roman" w:cs="Times New Roman"/>
          <w:sz w:val="18"/>
          <w:szCs w:val="15"/>
          <w:lang w:val="pt-PT" w:eastAsia="en-GB"/>
        </w:rPr>
      </w:pPr>
    </w:p>
    <w:p w14:paraId="419AC783">
      <w:pPr>
        <w:numPr>
          <w:ilvl w:val="0"/>
          <w:numId w:val="15"/>
        </w:numPr>
        <w:spacing w:after="60"/>
        <w:ind w:left="431" w:hanging="431"/>
        <w:jc w:val="left"/>
        <w:rPr>
          <w:rFonts w:hint="default" w:ascii="Times New Roman" w:hAnsi="Times New Roman" w:cs="Times New Roman"/>
          <w:b/>
          <w:sz w:val="18"/>
          <w:szCs w:val="15"/>
          <w:lang w:val="pt-PT"/>
        </w:rPr>
      </w:pPr>
      <w:r>
        <w:rPr>
          <w:rFonts w:hint="default" w:ascii="Times New Roman" w:hAnsi="Times New Roman" w:cs="Times New Roman"/>
          <w:b/>
          <w:sz w:val="18"/>
          <w:szCs w:val="15"/>
          <w:lang w:val="pt-PT"/>
        </w:rPr>
        <w:t>Normas Éticas</w:t>
      </w:r>
    </w:p>
    <w:p w14:paraId="419AC784">
      <w:pPr>
        <w:numPr>
          <w:ilvl w:val="1"/>
          <w:numId w:val="15"/>
        </w:numPr>
        <w:tabs>
          <w:tab w:val="left" w:pos="426"/>
          <w:tab w:val="clear" w:pos="576"/>
        </w:tabs>
        <w:spacing w:after="60"/>
        <w:ind w:left="425" w:hanging="425"/>
        <w:jc w:val="both"/>
        <w:rPr>
          <w:rFonts w:hint="default" w:ascii="Times New Roman" w:hAnsi="Times New Roman" w:cs="Times New Roman"/>
          <w:b/>
          <w:sz w:val="18"/>
          <w:szCs w:val="15"/>
          <w:lang w:val="pt-PT"/>
        </w:rPr>
      </w:pPr>
      <w:r>
        <w:rPr>
          <w:rFonts w:hint="default" w:ascii="Times New Roman" w:hAnsi="Times New Roman" w:cs="Times New Roman"/>
          <w:sz w:val="18"/>
          <w:szCs w:val="15"/>
          <w:lang w:val="pt-PT"/>
        </w:rPr>
        <w:t xml:space="preserve">O Fornecedor deve observar os mais elevados padrões éticos durante o cumprimento das suas obrigações ao abrigo do presente Contrato, incluindo as normas laborais internacionais promovidas pela Organização Internacional do Trabalho, incluindo nas áreas do trabalho infantil e do trabalho forçado. </w:t>
      </w:r>
    </w:p>
    <w:p w14:paraId="419AC785">
      <w:pPr>
        <w:numPr>
          <w:ilvl w:val="1"/>
          <w:numId w:val="15"/>
        </w:numPr>
        <w:tabs>
          <w:tab w:val="left" w:pos="426"/>
          <w:tab w:val="clear" w:pos="576"/>
        </w:tabs>
        <w:spacing w:after="60"/>
        <w:ind w:left="425" w:hanging="425"/>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 xml:space="preserve">O Fornecedor, os seus fornecedores e subcontratados devem cumprir todos os requisitos e normas estatutários e regulamentares ambientais, de saúde pública e segurança dos produtos, não devem, de forma alguma, estar envolvidos no fabrico ou venda de armas ou ter quaisquer relações comerciais com grupos armados ou governos para qualquer finalidade relacionada com a guerra </w:t>
      </w:r>
    </w:p>
    <w:p w14:paraId="419AC786">
      <w:pPr>
        <w:numPr>
          <w:ilvl w:val="1"/>
          <w:numId w:val="15"/>
        </w:numPr>
        <w:tabs>
          <w:tab w:val="left" w:pos="426"/>
          <w:tab w:val="clear" w:pos="576"/>
        </w:tabs>
        <w:spacing w:after="60"/>
        <w:ind w:left="425" w:hanging="425"/>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O Fornecedor deve cumprir as seguintes Políticas do Consórcio Malária, cujas cópias estão disponíveis no site do Consórcio Malária e em https://www.malariaconsortium.org/pages/governance/policies.htm: Política Antissuborno, Política Antifraude e Anticorrupção, Política Antilavagem de Dinheiro e Financiamento do Terrorismo, Código de Conduta, Política de Salvaguarda e Política de Denúncias.</w:t>
      </w:r>
    </w:p>
    <w:p w14:paraId="419AC787">
      <w:pPr>
        <w:ind w:left="432"/>
        <w:jc w:val="left"/>
        <w:rPr>
          <w:rFonts w:hint="default" w:ascii="Times New Roman" w:hAnsi="Times New Roman" w:cs="Times New Roman"/>
          <w:b/>
          <w:sz w:val="18"/>
          <w:szCs w:val="15"/>
          <w:lang w:val="pt-PT"/>
        </w:rPr>
      </w:pPr>
    </w:p>
    <w:p w14:paraId="419AC788">
      <w:pPr>
        <w:numPr>
          <w:ilvl w:val="0"/>
          <w:numId w:val="15"/>
        </w:numPr>
        <w:spacing w:after="60"/>
        <w:ind w:left="431" w:hanging="431"/>
        <w:jc w:val="left"/>
        <w:rPr>
          <w:rFonts w:hint="default" w:ascii="Times New Roman" w:hAnsi="Times New Roman" w:cs="Times New Roman"/>
          <w:b/>
          <w:sz w:val="18"/>
          <w:szCs w:val="15"/>
          <w:lang w:val="pt-PT"/>
        </w:rPr>
      </w:pPr>
      <w:r>
        <w:rPr>
          <w:rFonts w:hint="default" w:ascii="Times New Roman" w:hAnsi="Times New Roman" w:cs="Times New Roman"/>
          <w:b/>
          <w:sz w:val="18"/>
          <w:szCs w:val="15"/>
          <w:lang w:val="pt-PT"/>
        </w:rPr>
        <w:t>Entrega / Desempenho</w:t>
      </w:r>
    </w:p>
    <w:p w14:paraId="419AC789">
      <w:pPr>
        <w:numPr>
          <w:ilvl w:val="1"/>
          <w:numId w:val="15"/>
        </w:numPr>
        <w:tabs>
          <w:tab w:val="left" w:pos="426"/>
          <w:tab w:val="clear" w:pos="576"/>
        </w:tabs>
        <w:spacing w:after="60"/>
        <w:ind w:left="425" w:hanging="425"/>
        <w:jc w:val="both"/>
        <w:rPr>
          <w:rFonts w:hint="default" w:ascii="Times New Roman" w:hAnsi="Times New Roman" w:cs="Times New Roman"/>
          <w:b/>
          <w:sz w:val="18"/>
          <w:szCs w:val="15"/>
          <w:lang w:val="pt-PT"/>
        </w:rPr>
      </w:pPr>
      <w:r>
        <w:rPr>
          <w:rFonts w:hint="default" w:ascii="Times New Roman" w:hAnsi="Times New Roman" w:cs="Times New Roman"/>
          <w:sz w:val="18"/>
          <w:szCs w:val="15"/>
          <w:lang w:val="pt-PT"/>
        </w:rPr>
        <w:t xml:space="preserve">Os Bens serão entregues e os Serviços serão executados na morada e na data ou no prazo indicado na Encomenda e, em ambos os casos, durante o horário normal de expediente do Consórcio Malária, salvo acordo em contrário na Encomenda.  O tempo será essencial no que respeita à presente condição 4.1. </w:t>
      </w:r>
    </w:p>
    <w:p w14:paraId="419AC78A">
      <w:pPr>
        <w:numPr>
          <w:ilvl w:val="1"/>
          <w:numId w:val="15"/>
        </w:numPr>
        <w:tabs>
          <w:tab w:val="left" w:pos="426"/>
          <w:tab w:val="clear" w:pos="576"/>
        </w:tabs>
        <w:spacing w:after="60"/>
        <w:ind w:left="425" w:hanging="425"/>
        <w:jc w:val="both"/>
        <w:rPr>
          <w:rFonts w:hint="default" w:ascii="Times New Roman" w:hAnsi="Times New Roman" w:cs="Times New Roman"/>
          <w:b/>
          <w:sz w:val="18"/>
          <w:szCs w:val="15"/>
          <w:lang w:val="pt-PT"/>
        </w:rPr>
      </w:pPr>
      <w:r>
        <w:rPr>
          <w:rFonts w:hint="default" w:ascii="Times New Roman" w:hAnsi="Times New Roman" w:cs="Times New Roman"/>
          <w:sz w:val="18"/>
          <w:szCs w:val="15"/>
          <w:lang w:val="pt-PT"/>
        </w:rPr>
        <w:t>Quando a data de entrega dos Bens ou de prestação dos Serviços tiver de ser especificada após a emissão da Encomenda, o Fornecedor deverá notificar por escrito o Consórcio da Malária da data especificada.</w:t>
      </w:r>
    </w:p>
    <w:p w14:paraId="419AC78B">
      <w:pPr>
        <w:numPr>
          <w:ilvl w:val="1"/>
          <w:numId w:val="15"/>
        </w:numPr>
        <w:tabs>
          <w:tab w:val="left" w:pos="426"/>
          <w:tab w:val="clear" w:pos="576"/>
        </w:tabs>
        <w:spacing w:after="60"/>
        <w:ind w:left="425" w:hanging="425"/>
        <w:jc w:val="both"/>
        <w:rPr>
          <w:rFonts w:hint="default" w:ascii="Times New Roman" w:hAnsi="Times New Roman" w:cs="Times New Roman"/>
          <w:b/>
          <w:sz w:val="18"/>
          <w:szCs w:val="15"/>
          <w:lang w:val="pt-PT"/>
        </w:rPr>
      </w:pPr>
      <w:r>
        <w:rPr>
          <w:rFonts w:hint="default" w:ascii="Times New Roman" w:hAnsi="Times New Roman" w:cs="Times New Roman"/>
          <w:sz w:val="18"/>
          <w:szCs w:val="15"/>
          <w:lang w:val="pt-PT"/>
        </w:rPr>
        <w:t>A entrega dos bens terá lugar e a titularidade dos Produtos passará após a conclusão da transferência física dos bens do Fornecedor ou dos seus agentes para o Consórcio da Malária ou os seus agentes na morada especificada na Encomenda.</w:t>
      </w:r>
    </w:p>
    <w:p w14:paraId="419AC78C">
      <w:pPr>
        <w:numPr>
          <w:ilvl w:val="1"/>
          <w:numId w:val="15"/>
        </w:numPr>
        <w:tabs>
          <w:tab w:val="left" w:pos="426"/>
          <w:tab w:val="clear" w:pos="576"/>
        </w:tabs>
        <w:spacing w:after="60"/>
        <w:ind w:left="425" w:hanging="425"/>
        <w:jc w:val="both"/>
        <w:rPr>
          <w:rFonts w:hint="default" w:ascii="Times New Roman" w:hAnsi="Times New Roman" w:cs="Times New Roman"/>
          <w:b/>
          <w:sz w:val="18"/>
          <w:szCs w:val="15"/>
          <w:lang w:val="pt-PT"/>
        </w:rPr>
      </w:pPr>
      <w:r>
        <w:rPr>
          <w:rFonts w:hint="default" w:ascii="Times New Roman" w:hAnsi="Times New Roman" w:cs="Times New Roman"/>
          <w:sz w:val="18"/>
          <w:szCs w:val="15"/>
          <w:lang w:val="pt-PT"/>
        </w:rPr>
        <w:t xml:space="preserve">O risco de danos ou perda dos Bens será transferido para o Consórcio da Malária de acordo com as disposições relevantes das regras dos Incoterms em vigor na data em que o Contrato for celebrado ou, quando os Incoterms não se aplicarem ou não estiverem declarados na Encomenda, o risco nos Bens passará para o Consórcio da Malária após a conclusão da entrega. </w:t>
      </w:r>
    </w:p>
    <w:p w14:paraId="419AC78D">
      <w:pPr>
        <w:numPr>
          <w:ilvl w:val="1"/>
          <w:numId w:val="15"/>
        </w:numPr>
        <w:tabs>
          <w:tab w:val="left" w:pos="426"/>
          <w:tab w:val="clear" w:pos="576"/>
        </w:tabs>
        <w:spacing w:after="60"/>
        <w:ind w:left="425" w:hanging="425"/>
        <w:jc w:val="both"/>
        <w:rPr>
          <w:rFonts w:hint="default" w:ascii="Times New Roman" w:hAnsi="Times New Roman" w:cs="Times New Roman"/>
          <w:b/>
          <w:sz w:val="18"/>
          <w:szCs w:val="15"/>
          <w:lang w:val="pt-PT"/>
        </w:rPr>
      </w:pPr>
      <w:r>
        <w:rPr>
          <w:rFonts w:hint="default" w:ascii="Times New Roman" w:hAnsi="Times New Roman" w:cs="Times New Roman"/>
          <w:sz w:val="18"/>
          <w:szCs w:val="15"/>
          <w:lang w:val="pt-PT" w:eastAsia="en-GB"/>
        </w:rPr>
        <w:t>O Consórcio Malária não será considerado como tendo aceitado quaisquer Bens ou Serviços e manterá o seu direito de rejeitar tais Bens e Serviços até que o Consórcio Malária tenha tido tempo razoável para inspecioná-los após a entrega e/ou desempenho pelo Fornecedor e assinado para confirmar a aceitação.</w:t>
      </w:r>
    </w:p>
    <w:p w14:paraId="419AC78E">
      <w:pPr>
        <w:numPr>
          <w:ilvl w:val="1"/>
          <w:numId w:val="15"/>
        </w:numPr>
        <w:tabs>
          <w:tab w:val="left" w:pos="426"/>
          <w:tab w:val="clear" w:pos="576"/>
        </w:tabs>
        <w:ind w:left="426" w:hanging="426"/>
        <w:jc w:val="both"/>
        <w:rPr>
          <w:rFonts w:hint="default" w:ascii="Times New Roman" w:hAnsi="Times New Roman" w:cs="Times New Roman"/>
          <w:b/>
          <w:sz w:val="18"/>
          <w:szCs w:val="15"/>
          <w:lang w:val="pt-PT"/>
        </w:rPr>
      </w:pPr>
      <w:r>
        <w:rPr>
          <w:rFonts w:hint="default" w:ascii="Times New Roman" w:hAnsi="Times New Roman" w:cs="Times New Roman"/>
          <w:sz w:val="18"/>
          <w:szCs w:val="15"/>
          <w:lang w:val="pt-PT" w:eastAsia="en-GB"/>
        </w:rPr>
        <w:t xml:space="preserve">O Consórcio Malária terá o direito de rejeitar quaisquer Bens entregues ou Serviços fornecidos que não estejam de acordo com o Contrato.  Se quaisquer Bens ou Serviços forem rejeitados, a critério do Consórcio Malaria, o Fornecedor deverá imediatamente refornecer Bens ou Serviços substitutos que estejam em conformidade com o Contrato.  Em alternativa, o Consórcio da Malária pode cancelar o Contrato e devolver quaisquer Bens rejeitados ao Fornecedor por conta e risco do Fornecedor e o Fornecedor deverá reembolsar ao Consórcio da Malária qualquer montante pago em relação a tais Bens ou Serviços.  </w:t>
      </w:r>
    </w:p>
    <w:p w14:paraId="419AC78F">
      <w:pPr>
        <w:jc w:val="left"/>
        <w:rPr>
          <w:rFonts w:hint="default" w:ascii="Times New Roman" w:hAnsi="Times New Roman" w:cs="Times New Roman"/>
          <w:b/>
          <w:sz w:val="18"/>
          <w:szCs w:val="15"/>
          <w:lang w:val="pt-PT"/>
        </w:rPr>
      </w:pPr>
    </w:p>
    <w:p w14:paraId="419AC790">
      <w:pPr>
        <w:numPr>
          <w:ilvl w:val="0"/>
          <w:numId w:val="15"/>
        </w:numPr>
        <w:spacing w:after="60"/>
        <w:ind w:left="431" w:hanging="431"/>
        <w:jc w:val="left"/>
        <w:rPr>
          <w:rFonts w:hint="default" w:ascii="Times New Roman" w:hAnsi="Times New Roman" w:cs="Times New Roman"/>
          <w:b/>
          <w:sz w:val="18"/>
          <w:szCs w:val="15"/>
          <w:lang w:val="pt-PT"/>
        </w:rPr>
      </w:pPr>
      <w:r>
        <w:rPr>
          <w:rFonts w:hint="default" w:ascii="Times New Roman" w:hAnsi="Times New Roman" w:cs="Times New Roman"/>
          <w:b/>
          <w:sz w:val="18"/>
          <w:szCs w:val="15"/>
          <w:lang w:val="pt-PT"/>
        </w:rPr>
        <w:t>Indemnização</w:t>
      </w:r>
    </w:p>
    <w:p w14:paraId="419AC791">
      <w:pPr>
        <w:ind w:left="432"/>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 xml:space="preserve">O Fornecedor indemnizará integralmente o Consórcio da Malária por todas as responsabilidades, perdas, danos, custos e despesas (incluindo despesas legais) adjudicados ou incorridos ou pagos pelo Consórcio da Malária como resultado ou em ligação com qualquer ato ou omissão do Fornecedor ou dos seus empregados, agentes ou subcontratados no cumprimento das suas obrigações ao abrigo do presente Contrato,  e quaisquer reclamações feitas contra o Malaria Consortium por terceiros (incluindo reivindicações por morte, danos pessoais ou danos materiais) decorrentes de, ou em conexão com, o fornecimento dos Bens ou Serviços ou uma violação da Cláusula 2. </w:t>
      </w:r>
    </w:p>
    <w:p w14:paraId="419AC792">
      <w:pPr>
        <w:jc w:val="left"/>
        <w:rPr>
          <w:rFonts w:hint="default" w:ascii="Times New Roman" w:hAnsi="Times New Roman" w:cs="Times New Roman"/>
          <w:b/>
          <w:sz w:val="18"/>
          <w:szCs w:val="15"/>
          <w:lang w:val="pt-PT"/>
        </w:rPr>
      </w:pPr>
    </w:p>
    <w:p w14:paraId="419AC793">
      <w:pPr>
        <w:numPr>
          <w:ilvl w:val="0"/>
          <w:numId w:val="15"/>
        </w:numPr>
        <w:spacing w:after="60"/>
        <w:ind w:left="431" w:hanging="431"/>
        <w:jc w:val="left"/>
        <w:rPr>
          <w:rFonts w:hint="default" w:ascii="Times New Roman" w:hAnsi="Times New Roman" w:cs="Times New Roman"/>
          <w:b/>
          <w:sz w:val="18"/>
          <w:szCs w:val="15"/>
          <w:lang w:val="pt-PT"/>
        </w:rPr>
      </w:pPr>
      <w:r>
        <w:rPr>
          <w:rFonts w:hint="default" w:ascii="Times New Roman" w:hAnsi="Times New Roman" w:cs="Times New Roman"/>
          <w:b/>
          <w:sz w:val="18"/>
          <w:szCs w:val="15"/>
          <w:lang w:val="pt-PT"/>
        </w:rPr>
        <w:t>Preço e Pagamento</w:t>
      </w:r>
    </w:p>
    <w:p w14:paraId="419AC794">
      <w:pPr>
        <w:ind w:left="426"/>
        <w:jc w:val="both"/>
        <w:rPr>
          <w:rFonts w:hint="default" w:ascii="Times New Roman" w:hAnsi="Times New Roman" w:cs="Times New Roman"/>
          <w:b/>
          <w:sz w:val="18"/>
          <w:szCs w:val="15"/>
          <w:lang w:val="pt-PT"/>
        </w:rPr>
      </w:pPr>
      <w:r>
        <w:rPr>
          <w:rFonts w:hint="default" w:ascii="Times New Roman" w:hAnsi="Times New Roman" w:cs="Times New Roman"/>
          <w:sz w:val="18"/>
          <w:szCs w:val="15"/>
          <w:lang w:val="pt-PT"/>
        </w:rPr>
        <w:t>O pagamento em atraso será efetuado conforme estabelecido na Encomenda, salvo disposição em contrário no contrato, e o Consórcio Malária terá o direito de compensar com o preço estabelecido na Encomenda todos os montantes devidos ao Consórcio Malária pelo Fornecedor.</w:t>
      </w:r>
    </w:p>
    <w:p w14:paraId="419AC795">
      <w:pPr>
        <w:jc w:val="both"/>
        <w:rPr>
          <w:rFonts w:hint="default" w:ascii="Times New Roman" w:hAnsi="Times New Roman" w:cs="Times New Roman"/>
          <w:b/>
          <w:sz w:val="18"/>
          <w:szCs w:val="15"/>
          <w:lang w:val="pt-PT"/>
        </w:rPr>
      </w:pPr>
    </w:p>
    <w:p w14:paraId="419AC796">
      <w:pPr>
        <w:numPr>
          <w:ilvl w:val="0"/>
          <w:numId w:val="15"/>
        </w:numPr>
        <w:spacing w:after="60"/>
        <w:ind w:left="431" w:hanging="431"/>
        <w:jc w:val="both"/>
        <w:rPr>
          <w:rFonts w:hint="default" w:ascii="Times New Roman" w:hAnsi="Times New Roman" w:cs="Times New Roman"/>
          <w:b/>
          <w:sz w:val="18"/>
          <w:szCs w:val="15"/>
          <w:lang w:val="pt-PT"/>
        </w:rPr>
      </w:pPr>
      <w:r>
        <w:rPr>
          <w:rFonts w:hint="default" w:ascii="Times New Roman" w:hAnsi="Times New Roman" w:cs="Times New Roman"/>
          <w:b/>
          <w:sz w:val="18"/>
          <w:szCs w:val="15"/>
          <w:lang w:val="pt-PT"/>
        </w:rPr>
        <w:t>Garantias do Fornecedor</w:t>
      </w:r>
    </w:p>
    <w:p w14:paraId="419AC797">
      <w:pPr>
        <w:numPr>
          <w:ilvl w:val="1"/>
          <w:numId w:val="15"/>
        </w:numPr>
        <w:tabs>
          <w:tab w:val="clear" w:pos="576"/>
        </w:tabs>
        <w:ind w:left="426" w:hanging="426"/>
        <w:jc w:val="both"/>
        <w:rPr>
          <w:rFonts w:hint="default" w:ascii="Times New Roman" w:hAnsi="Times New Roman" w:cs="Times New Roman"/>
          <w:b/>
          <w:sz w:val="18"/>
          <w:szCs w:val="15"/>
          <w:lang w:val="pt-PT"/>
        </w:rPr>
      </w:pPr>
      <w:r>
        <w:rPr>
          <w:rFonts w:hint="default" w:ascii="Times New Roman" w:hAnsi="Times New Roman" w:cs="Times New Roman"/>
          <w:sz w:val="18"/>
          <w:szCs w:val="15"/>
          <w:lang w:val="pt-PT"/>
        </w:rPr>
        <w:t>O Fornecedor garante ao Consórcio Malária que:</w:t>
      </w:r>
    </w:p>
    <w:p w14:paraId="419AC798">
      <w:pPr>
        <w:numPr>
          <w:ilvl w:val="0"/>
          <w:numId w:val="17"/>
        </w:numPr>
        <w:tabs>
          <w:tab w:val="clear" w:pos="1080"/>
        </w:tabs>
        <w:ind w:left="851"/>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tem todas as autorizações internas necessárias e todas as autorizações de todos os terceiros relevantes para lhe permitir fornecer os Bens e os Serviços sem infringir qualquer lei, regulamento, código ou prática aplicável ou os direitos de terceiros;</w:t>
      </w:r>
    </w:p>
    <w:p w14:paraId="419AC799">
      <w:pPr>
        <w:numPr>
          <w:ilvl w:val="0"/>
          <w:numId w:val="17"/>
        </w:numPr>
        <w:tabs>
          <w:tab w:val="clear" w:pos="1080"/>
        </w:tabs>
        <w:ind w:left="851"/>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não aceitará e garantirá que nenhum de seus funcionários aceitará qualquer comissão, presente, incentivo ou outro benefício financeiro de qualquer fornecedor ou potencial fornecedor do Consórcio Malária; e ainda</w:t>
      </w:r>
    </w:p>
    <w:p w14:paraId="419AC79A">
      <w:pPr>
        <w:numPr>
          <w:ilvl w:val="0"/>
          <w:numId w:val="17"/>
        </w:numPr>
        <w:tabs>
          <w:tab w:val="clear" w:pos="1080"/>
        </w:tabs>
        <w:ind w:left="851"/>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os Serviços serão executados por pessoal devidamente qualificado e treinado, com o melhor cuidado, habilidade e diligência e com um alto padrão de qualidade que seja razoável para o Consórcio Malária esperar em todas as circunstâncias.</w:t>
      </w:r>
    </w:p>
    <w:p w14:paraId="419AC79B">
      <w:pPr>
        <w:ind w:left="720"/>
        <w:jc w:val="both"/>
        <w:rPr>
          <w:rFonts w:hint="default" w:ascii="Times New Roman" w:hAnsi="Times New Roman" w:cs="Times New Roman"/>
          <w:sz w:val="18"/>
          <w:szCs w:val="15"/>
          <w:lang w:val="pt-PT"/>
        </w:rPr>
      </w:pPr>
    </w:p>
    <w:p w14:paraId="419AC79C">
      <w:pPr>
        <w:numPr>
          <w:ilvl w:val="0"/>
          <w:numId w:val="15"/>
        </w:numPr>
        <w:spacing w:after="60"/>
        <w:ind w:left="431" w:hanging="431"/>
        <w:jc w:val="both"/>
        <w:rPr>
          <w:rFonts w:hint="default" w:ascii="Times New Roman" w:hAnsi="Times New Roman" w:cs="Times New Roman"/>
          <w:b/>
          <w:sz w:val="18"/>
          <w:szCs w:val="15"/>
          <w:lang w:val="pt-PT"/>
        </w:rPr>
      </w:pPr>
      <w:r>
        <w:rPr>
          <w:rFonts w:hint="default" w:ascii="Times New Roman" w:hAnsi="Times New Roman" w:cs="Times New Roman"/>
          <w:b/>
          <w:sz w:val="18"/>
          <w:szCs w:val="15"/>
          <w:lang w:val="pt-PT"/>
        </w:rPr>
        <w:t>Força maior</w:t>
      </w:r>
    </w:p>
    <w:p w14:paraId="419AC79D">
      <w:pPr>
        <w:numPr>
          <w:ilvl w:val="1"/>
          <w:numId w:val="15"/>
        </w:numPr>
        <w:tabs>
          <w:tab w:val="left" w:pos="426"/>
          <w:tab w:val="clear" w:pos="576"/>
        </w:tabs>
        <w:spacing w:after="60"/>
        <w:ind w:left="425" w:hanging="425"/>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Nem o Fornecedor nem o Consórcio de Malária serão responsáveis por qualquer falha ou atraso no cumprimento das suas obrigações ao abrigo do Contrato, na medida em que tal falha ou atraso seja causado por um evento que esteja fora do controlo razoável dessa parte e não era razoavelmente previsível à data da Encomenda (um "Evento de</w:t>
      </w:r>
      <w:r>
        <w:rPr>
          <w:rFonts w:hint="default" w:ascii="Times New Roman" w:hAnsi="Times New Roman" w:cs="Times New Roman"/>
          <w:b/>
          <w:sz w:val="18"/>
          <w:szCs w:val="15"/>
          <w:lang w:val="pt-PT"/>
        </w:rPr>
        <w:t xml:space="preserve"> Força Maior</w:t>
      </w:r>
      <w:r>
        <w:rPr>
          <w:rFonts w:hint="default" w:ascii="Times New Roman" w:hAnsi="Times New Roman" w:cs="Times New Roman"/>
          <w:sz w:val="18"/>
          <w:szCs w:val="15"/>
          <w:lang w:val="pt-PT"/>
        </w:rPr>
        <w:t>"), desde que o Fornecedor envide todos os esforços para sanar esse Evento de Força Maior e retome o desempenho ao abrigo do Contrato.</w:t>
      </w:r>
    </w:p>
    <w:p w14:paraId="419AC79E">
      <w:pPr>
        <w:numPr>
          <w:ilvl w:val="1"/>
          <w:numId w:val="15"/>
        </w:numPr>
        <w:tabs>
          <w:tab w:val="left" w:pos="426"/>
          <w:tab w:val="clear" w:pos="576"/>
        </w:tabs>
        <w:ind w:left="426" w:hanging="426"/>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 xml:space="preserve">Se qualquer Evento de Força Maior impedir o Fornecedor de cumprir as suas obrigações ao abrigo do Contrato por um período contínuo superior a 30 dias, o Consórcio Malaria pode rescindir o Contrato imediatamente, mediante notificação por escrito ao Fornecedor. </w:t>
      </w:r>
    </w:p>
    <w:p w14:paraId="419AC79F">
      <w:pPr>
        <w:jc w:val="left"/>
        <w:rPr>
          <w:rFonts w:hint="default" w:ascii="Times New Roman" w:hAnsi="Times New Roman" w:cs="Times New Roman"/>
          <w:b/>
          <w:sz w:val="18"/>
          <w:szCs w:val="15"/>
          <w:lang w:val="pt-PT"/>
        </w:rPr>
      </w:pPr>
    </w:p>
    <w:p w14:paraId="419AC7A0">
      <w:pPr>
        <w:numPr>
          <w:ilvl w:val="0"/>
          <w:numId w:val="15"/>
        </w:numPr>
        <w:spacing w:after="60"/>
        <w:ind w:left="431" w:hanging="431"/>
        <w:jc w:val="left"/>
        <w:rPr>
          <w:rFonts w:hint="default" w:ascii="Times New Roman" w:hAnsi="Times New Roman" w:cs="Times New Roman"/>
          <w:b/>
          <w:sz w:val="18"/>
          <w:szCs w:val="15"/>
          <w:lang w:val="pt-PT"/>
        </w:rPr>
      </w:pPr>
      <w:r>
        <w:rPr>
          <w:rFonts w:hint="default" w:ascii="Times New Roman" w:hAnsi="Times New Roman" w:cs="Times New Roman"/>
          <w:b/>
          <w:sz w:val="18"/>
          <w:szCs w:val="15"/>
          <w:lang w:val="pt-PT"/>
        </w:rPr>
        <w:t>Geral</w:t>
      </w:r>
    </w:p>
    <w:p w14:paraId="419AC7A1">
      <w:pPr>
        <w:numPr>
          <w:ilvl w:val="1"/>
          <w:numId w:val="15"/>
        </w:numPr>
        <w:tabs>
          <w:tab w:val="left" w:pos="426"/>
          <w:tab w:val="clear" w:pos="576"/>
        </w:tabs>
        <w:spacing w:after="60"/>
        <w:ind w:left="425" w:hanging="425"/>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O Fornecedor não utilizará o nome, a marca ou o logótipo do Consórcio para a Malária a não ser de acordo com as instruções escritas ou a autorização do Consórcio para a Malária.</w:t>
      </w:r>
    </w:p>
    <w:p w14:paraId="419AC7A2">
      <w:pPr>
        <w:numPr>
          <w:ilvl w:val="1"/>
          <w:numId w:val="15"/>
        </w:numPr>
        <w:tabs>
          <w:tab w:val="left" w:pos="426"/>
          <w:tab w:val="clear" w:pos="576"/>
        </w:tabs>
        <w:spacing w:after="60"/>
        <w:ind w:left="425" w:hanging="425"/>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O Fornecedor não pode ceder, transferir, cobrar, subcontratar, novatar ou negociar de qualquer outra forma com qualquer ou todos os seus direitos ou obrigações ao abrigo do Contrato sem o consentimento prévio por escrito do Consórcio da Malária.</w:t>
      </w:r>
    </w:p>
    <w:p w14:paraId="419AC7A3">
      <w:pPr>
        <w:numPr>
          <w:ilvl w:val="1"/>
          <w:numId w:val="15"/>
        </w:numPr>
        <w:tabs>
          <w:tab w:val="left" w:pos="426"/>
          <w:tab w:val="clear" w:pos="576"/>
        </w:tabs>
        <w:spacing w:after="60"/>
        <w:ind w:left="425" w:hanging="425"/>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 xml:space="preserve">Qualquer notificação ao abrigo ou relacionada com o Contrato deve ser enviada por escrito para o endereço especificado na Encomenda ou para qualquer outro endereço que seja notificado por escrito periodicamente.  Para efeitos da presente condição, o termo "escrita" inclui o correio eletrónico e o fax. </w:t>
      </w:r>
    </w:p>
    <w:p w14:paraId="419AC7A4">
      <w:pPr>
        <w:numPr>
          <w:ilvl w:val="1"/>
          <w:numId w:val="15"/>
        </w:numPr>
        <w:tabs>
          <w:tab w:val="left" w:pos="426"/>
          <w:tab w:val="clear" w:pos="576"/>
        </w:tabs>
        <w:spacing w:after="60"/>
        <w:ind w:left="425" w:hanging="425"/>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Se qualquer tribunal ou autoridade competente considerar que qualquer disposição do Contrato (ou parte de qualquer disposição) é inválida, ilegal ou inexequível, essa disposição ou parte da disposição será, na medida do necessário, considerada eliminada, e a validade e aplicabilidade das outras disposições do Contrato não serão afetadas.</w:t>
      </w:r>
    </w:p>
    <w:p w14:paraId="419AC7A5">
      <w:pPr>
        <w:numPr>
          <w:ilvl w:val="1"/>
          <w:numId w:val="15"/>
        </w:numPr>
        <w:tabs>
          <w:tab w:val="left" w:pos="426"/>
          <w:tab w:val="clear" w:pos="576"/>
        </w:tabs>
        <w:spacing w:after="60"/>
        <w:ind w:left="425" w:hanging="425"/>
        <w:jc w:val="both"/>
        <w:rPr>
          <w:rFonts w:hint="default" w:ascii="Times New Roman" w:hAnsi="Times New Roman" w:cs="Times New Roman"/>
          <w:sz w:val="18"/>
          <w:szCs w:val="15"/>
          <w:lang w:val="pt-PT"/>
        </w:rPr>
      </w:pPr>
      <w:r>
        <w:rPr>
          <w:rFonts w:hint="default" w:ascii="Times New Roman" w:hAnsi="Times New Roman" w:cs="Times New Roman"/>
          <w:sz w:val="18"/>
          <w:szCs w:val="15"/>
          <w:lang w:val="pt-PT"/>
        </w:rPr>
        <w:t xml:space="preserve">Qualquer alteração ao Contrato, incluindo a introdução de quaisquer termos e condições adicionais, só será vinculativa quando acordada por escrito e assinada por ambas as partes. </w:t>
      </w:r>
    </w:p>
    <w:p w14:paraId="419AC7A6">
      <w:pPr>
        <w:numPr>
          <w:ilvl w:val="1"/>
          <w:numId w:val="15"/>
        </w:numPr>
        <w:tabs>
          <w:tab w:val="left" w:pos="426"/>
          <w:tab w:val="clear" w:pos="576"/>
        </w:tabs>
        <w:ind w:left="426" w:hanging="426"/>
        <w:jc w:val="both"/>
        <w:rPr>
          <w:rFonts w:hint="default" w:ascii="Times New Roman" w:hAnsi="Times New Roman" w:cs="Times New Roman"/>
          <w:sz w:val="18"/>
          <w:szCs w:val="15"/>
          <w:lang w:val="pt-PT"/>
        </w:rPr>
      </w:pPr>
      <w:r>
        <w:rPr>
          <w:rFonts w:hint="default" w:ascii="Times New Roman" w:hAnsi="Times New Roman" w:cs="Times New Roman"/>
          <w:bCs/>
          <w:sz w:val="18"/>
          <w:szCs w:val="15"/>
          <w:lang w:val="pt-PT"/>
        </w:rPr>
        <w:t>Uma pessoa que não seja parte no Contrato não terá quaisquer direitos ao abrigo ou relacionados com o mesmo.</w:t>
      </w:r>
    </w:p>
    <w:p w14:paraId="419AC7A7">
      <w:pPr>
        <w:pStyle w:val="31"/>
        <w:jc w:val="left"/>
        <w:rPr>
          <w:rFonts w:hint="default" w:ascii="Times New Roman" w:hAnsi="Times New Roman" w:cs="Times New Roman"/>
        </w:rPr>
      </w:pPr>
    </w:p>
    <w:p w14:paraId="419AC7A8">
      <w:pPr>
        <w:jc w:val="left"/>
        <w:rPr>
          <w:rFonts w:hint="default" w:ascii="Times New Roman" w:hAnsi="Times New Roman" w:eastAsia="Calibri" w:cs="Times New Roman"/>
          <w:spacing w:val="0"/>
          <w:sz w:val="22"/>
          <w:szCs w:val="22"/>
          <w:lang w:val="pt-PT"/>
        </w:rPr>
      </w:pPr>
    </w:p>
    <w:p w14:paraId="419AC7A9">
      <w:pPr>
        <w:jc w:val="left"/>
        <w:rPr>
          <w:rFonts w:hint="default" w:ascii="Times New Roman" w:hAnsi="Times New Roman" w:eastAsia="Calibri" w:cs="Times New Roman"/>
          <w:spacing w:val="0"/>
          <w:sz w:val="22"/>
          <w:szCs w:val="22"/>
          <w:lang w:val="pt-PT"/>
        </w:rPr>
      </w:pPr>
    </w:p>
    <w:p w14:paraId="419AC7AA">
      <w:pPr>
        <w:ind w:left="0" w:firstLine="360"/>
        <w:jc w:val="center"/>
        <w:rPr>
          <w:rFonts w:hint="default" w:ascii="Times New Roman" w:hAnsi="Times New Roman" w:eastAsia="Calibri" w:cs="Times New Roman"/>
          <w:b/>
          <w:spacing w:val="0"/>
          <w:sz w:val="22"/>
          <w:szCs w:val="22"/>
          <w:u w:val="none"/>
          <w:lang w:val="pt-PT"/>
        </w:rPr>
      </w:pPr>
      <w:r>
        <w:rPr>
          <w:rFonts w:hint="default" w:ascii="Times New Roman" w:hAnsi="Times New Roman" w:eastAsia="Calibri" w:cs="Times New Roman"/>
          <w:b/>
          <w:spacing w:val="0"/>
          <w:sz w:val="22"/>
          <w:szCs w:val="22"/>
          <w:u w:val="single"/>
          <w:lang w:val="pt-PT"/>
        </w:rPr>
        <w:br w:type="page"/>
      </w:r>
      <w:r>
        <w:rPr>
          <w:rFonts w:hint="default" w:ascii="Times New Roman" w:hAnsi="Times New Roman" w:eastAsia="Calibri" w:cs="Times New Roman"/>
          <w:b/>
          <w:spacing w:val="0"/>
          <w:sz w:val="22"/>
          <w:szCs w:val="22"/>
          <w:u w:val="none"/>
          <w:lang w:val="pt-PT"/>
        </w:rPr>
        <w:t>Política Antissuborno</w:t>
      </w:r>
    </w:p>
    <w:p w14:paraId="419AC7AB">
      <w:pPr>
        <w:ind w:left="0" w:firstLine="360"/>
        <w:jc w:val="both"/>
        <w:rPr>
          <w:rFonts w:hint="default" w:ascii="Times New Roman" w:hAnsi="Times New Roman" w:eastAsia="Calibri" w:cs="Times New Roman"/>
          <w:b/>
          <w:spacing w:val="0"/>
          <w:sz w:val="18"/>
          <w:szCs w:val="18"/>
          <w:u w:val="single"/>
          <w:lang w:val="pt-PT"/>
        </w:rPr>
      </w:pPr>
    </w:p>
    <w:p w14:paraId="419AC7AC">
      <w:pPr>
        <w:keepNext/>
        <w:numPr>
          <w:ilvl w:val="0"/>
          <w:numId w:val="18"/>
        </w:numPr>
        <w:ind w:left="709" w:hanging="709"/>
        <w:jc w:val="both"/>
        <w:outlineLvl w:val="0"/>
        <w:rPr>
          <w:rFonts w:hint="default" w:ascii="Times New Roman" w:hAnsi="Times New Roman" w:cs="Times New Roman"/>
          <w:b/>
          <w:bCs/>
          <w:kern w:val="32"/>
          <w:sz w:val="18"/>
          <w:szCs w:val="18"/>
          <w:lang w:val="pt-PT"/>
        </w:rPr>
      </w:pPr>
      <w:r>
        <w:rPr>
          <w:rFonts w:hint="default" w:ascii="Times New Roman" w:hAnsi="Times New Roman" w:cs="Times New Roman"/>
          <w:b/>
          <w:bCs/>
          <w:kern w:val="32"/>
          <w:sz w:val="18"/>
          <w:szCs w:val="18"/>
          <w:lang w:val="pt-PT"/>
        </w:rPr>
        <w:t>Finalidade e contexto</w:t>
      </w:r>
    </w:p>
    <w:p w14:paraId="419AC7AD">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 política do Consórcio Malária é conduzir o seu trabalho de forma honesta e ética. O Consórcio Malária, onde quer que opere, adota uma abordagem de tolerância zero ao suborno e está empenhado em garantir que os seus funcionários ajam de forma profissional, justa e íntegra em todas as negociações, onde quer que o Consórcio Malária opere. Isto destina-se a garantir que a organização beneficia de uma reputação valiosa e da confiança dos doadores, parceiros e beneficiários. </w:t>
      </w:r>
    </w:p>
    <w:p w14:paraId="419AC7AE">
      <w:pPr>
        <w:ind w:left="0"/>
        <w:jc w:val="both"/>
        <w:rPr>
          <w:rFonts w:hint="default" w:ascii="Times New Roman" w:hAnsi="Times New Roman" w:cs="Times New Roman"/>
          <w:sz w:val="18"/>
          <w:szCs w:val="18"/>
          <w:lang w:val="pt-PT"/>
        </w:rPr>
      </w:pPr>
    </w:p>
    <w:p w14:paraId="419AC7AF">
      <w:pPr>
        <w:keepNext/>
        <w:numPr>
          <w:ilvl w:val="0"/>
          <w:numId w:val="18"/>
        </w:numPr>
        <w:ind w:left="709" w:hanging="709"/>
        <w:jc w:val="both"/>
        <w:outlineLvl w:val="0"/>
        <w:rPr>
          <w:rFonts w:hint="default" w:ascii="Times New Roman" w:hAnsi="Times New Roman" w:cs="Times New Roman"/>
          <w:b/>
          <w:bCs/>
          <w:kern w:val="32"/>
          <w:sz w:val="18"/>
          <w:szCs w:val="18"/>
          <w:lang w:val="pt-PT"/>
        </w:rPr>
      </w:pPr>
      <w:r>
        <w:rPr>
          <w:rFonts w:hint="default" w:ascii="Times New Roman" w:hAnsi="Times New Roman" w:cs="Times New Roman"/>
          <w:b/>
          <w:bCs/>
          <w:kern w:val="32"/>
          <w:sz w:val="18"/>
          <w:szCs w:val="18"/>
          <w:lang w:val="pt-PT"/>
        </w:rPr>
        <w:t>Princípios</w:t>
      </w:r>
    </w:p>
    <w:p w14:paraId="419AC7B0">
      <w:pPr>
        <w:ind w:left="0"/>
        <w:jc w:val="both"/>
        <w:rPr>
          <w:rFonts w:hint="default" w:ascii="Times New Roman" w:hAnsi="Times New Roman" w:cs="Times New Roman"/>
          <w:sz w:val="18"/>
          <w:szCs w:val="18"/>
          <w:lang w:val="pt-PT"/>
        </w:rPr>
      </w:pPr>
    </w:p>
    <w:p w14:paraId="419AC7B1">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 Consórcio para a Malária está empenhado em implementar e aplicar sistemas eficazes para combater o suborno. </w:t>
      </w:r>
    </w:p>
    <w:p w14:paraId="419AC7B2">
      <w:pPr>
        <w:ind w:left="0"/>
        <w:jc w:val="both"/>
        <w:rPr>
          <w:rFonts w:hint="default" w:ascii="Times New Roman" w:hAnsi="Times New Roman" w:cs="Times New Roman"/>
          <w:sz w:val="18"/>
          <w:szCs w:val="18"/>
          <w:lang w:val="pt-PT"/>
        </w:rPr>
      </w:pPr>
    </w:p>
    <w:p w14:paraId="419AC7B3">
      <w:pPr>
        <w:keepNext/>
        <w:numPr>
          <w:ilvl w:val="0"/>
          <w:numId w:val="18"/>
        </w:numPr>
        <w:ind w:left="709" w:hanging="709"/>
        <w:jc w:val="both"/>
        <w:outlineLvl w:val="0"/>
        <w:rPr>
          <w:rFonts w:hint="default" w:ascii="Times New Roman" w:hAnsi="Times New Roman" w:cs="Times New Roman"/>
          <w:b/>
          <w:bCs/>
          <w:kern w:val="32"/>
          <w:sz w:val="18"/>
          <w:szCs w:val="18"/>
          <w:lang w:val="pt-PT"/>
        </w:rPr>
      </w:pPr>
      <w:r>
        <w:rPr>
          <w:rFonts w:hint="default" w:ascii="Times New Roman" w:hAnsi="Times New Roman" w:cs="Times New Roman"/>
          <w:b/>
          <w:bCs/>
          <w:kern w:val="32"/>
          <w:sz w:val="18"/>
          <w:szCs w:val="18"/>
          <w:lang w:val="pt-PT"/>
        </w:rPr>
        <w:t>Âmbito de aplicação</w:t>
      </w:r>
    </w:p>
    <w:p w14:paraId="419AC7B4">
      <w:pPr>
        <w:ind w:left="0"/>
        <w:jc w:val="both"/>
        <w:rPr>
          <w:rFonts w:hint="default" w:ascii="Times New Roman" w:hAnsi="Times New Roman" w:cs="Times New Roman"/>
          <w:sz w:val="18"/>
          <w:szCs w:val="18"/>
          <w:lang w:val="pt-PT"/>
        </w:rPr>
      </w:pPr>
    </w:p>
    <w:p w14:paraId="419AC7B5">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Esta política aplica-se a todos os indivíduos da organização, incluindo administradores, quadros superiores, funcionários (permanentes, a termo ou temporários), voluntários e estagiários, consultores, parceiros e qualquer outra pessoa ou organização que preste serviços ao Consórcio da Malária, remunerados ou não.</w:t>
      </w:r>
    </w:p>
    <w:p w14:paraId="419AC7B6">
      <w:pPr>
        <w:ind w:left="0"/>
        <w:jc w:val="left"/>
        <w:rPr>
          <w:rFonts w:hint="default" w:ascii="Times New Roman" w:hAnsi="Times New Roman" w:cs="Times New Roman"/>
          <w:sz w:val="22"/>
          <w:szCs w:val="22"/>
          <w:lang w:val="pt-PT"/>
        </w:rPr>
      </w:pPr>
    </w:p>
    <w:p w14:paraId="419AC7B7">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Todos os funcionários serão treinados sobre esta política ao ingressar na organização como parte de sua indução financeira. Ser-lhes-á pedido que assinem que leram, compreenderam e concordam em respeitar o seu conteúdo. Todas as outras pessoas associadas à organização serão informadas desta política através das suas disposições contratuais. Para os funcionários existentes e pessoas associadas, a política deve ser comunicada através do Diretor de País, do Diretor de Programas Regionais nas regiões e do Auditor Financeiro em cada país.</w:t>
      </w:r>
    </w:p>
    <w:p w14:paraId="419AC7B8">
      <w:pPr>
        <w:ind w:left="0"/>
        <w:jc w:val="both"/>
        <w:rPr>
          <w:rFonts w:hint="default" w:ascii="Times New Roman" w:hAnsi="Times New Roman" w:cs="Times New Roman"/>
          <w:sz w:val="18"/>
          <w:szCs w:val="18"/>
          <w:lang w:val="pt-PT"/>
        </w:rPr>
      </w:pPr>
    </w:p>
    <w:p w14:paraId="419AC7B9">
      <w:pPr>
        <w:keepNext/>
        <w:numPr>
          <w:ilvl w:val="0"/>
          <w:numId w:val="18"/>
        </w:numPr>
        <w:ind w:left="709" w:hanging="709"/>
        <w:jc w:val="both"/>
        <w:outlineLvl w:val="0"/>
        <w:rPr>
          <w:rFonts w:hint="default" w:ascii="Times New Roman" w:hAnsi="Times New Roman" w:cs="Times New Roman"/>
          <w:b/>
          <w:bCs/>
          <w:kern w:val="32"/>
          <w:sz w:val="18"/>
          <w:szCs w:val="18"/>
          <w:lang w:val="pt-PT"/>
        </w:rPr>
      </w:pPr>
      <w:r>
        <w:rPr>
          <w:rFonts w:hint="default" w:ascii="Times New Roman" w:hAnsi="Times New Roman" w:cs="Times New Roman"/>
          <w:b/>
          <w:bCs/>
          <w:kern w:val="32"/>
          <w:sz w:val="18"/>
          <w:szCs w:val="18"/>
          <w:lang w:val="pt-PT"/>
        </w:rPr>
        <w:t>Definição e termos</w:t>
      </w:r>
    </w:p>
    <w:p w14:paraId="419AC7BA">
      <w:pPr>
        <w:keepNext/>
        <w:ind w:left="0"/>
        <w:jc w:val="both"/>
        <w:outlineLvl w:val="1"/>
        <w:rPr>
          <w:rFonts w:hint="default" w:ascii="Times New Roman" w:hAnsi="Times New Roman" w:cs="Times New Roman"/>
          <w:sz w:val="18"/>
          <w:szCs w:val="18"/>
          <w:u w:val="single"/>
          <w:lang w:val="pt-PT"/>
        </w:rPr>
      </w:pPr>
      <w:bookmarkStart w:id="2" w:name="_Toc383695904"/>
    </w:p>
    <w:p w14:paraId="419AC7BB">
      <w:pPr>
        <w:keepNext/>
        <w:ind w:left="0"/>
        <w:jc w:val="both"/>
        <w:outlineLvl w:val="1"/>
        <w:rPr>
          <w:rFonts w:hint="default" w:ascii="Times New Roman" w:hAnsi="Times New Roman" w:cs="Times New Roman"/>
          <w:sz w:val="18"/>
          <w:szCs w:val="18"/>
          <w:u w:val="single"/>
          <w:lang w:val="pt-PT"/>
        </w:rPr>
      </w:pPr>
      <w:r>
        <w:rPr>
          <w:rFonts w:hint="default" w:ascii="Times New Roman" w:hAnsi="Times New Roman" w:cs="Times New Roman"/>
          <w:sz w:val="18"/>
          <w:szCs w:val="18"/>
          <w:u w:val="single"/>
          <w:lang w:val="pt-PT"/>
        </w:rPr>
        <w:t>O que é um suborno?</w:t>
      </w:r>
      <w:bookmarkEnd w:id="2"/>
    </w:p>
    <w:p w14:paraId="419AC7BC">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Um suborno é uma vantagem financeira ou outra oferecida ou dada:</w:t>
      </w:r>
    </w:p>
    <w:p w14:paraId="419AC7BD">
      <w:pPr>
        <w:numPr>
          <w:ilvl w:val="0"/>
          <w:numId w:val="19"/>
        </w:numPr>
        <w:contextualSpacing/>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A qualquer pessoa para persuadi-los ou recompensá-los por desempenharem suas funções indevidamente ou;</w:t>
      </w:r>
    </w:p>
    <w:p w14:paraId="419AC7BE">
      <w:pPr>
        <w:numPr>
          <w:ilvl w:val="0"/>
          <w:numId w:val="19"/>
        </w:numPr>
        <w:contextualSpacing/>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A qualquer funcionário público com a intenção de influenciar o funcionário no exercício das suas funções. Isto inclui qualquer forma de presente ou pagamento a um funcionário numa tentativa de acelerar ou concluir um processo mais rapidamente do que o habitual. O tamanho do presente é irrelevante.</w:t>
      </w:r>
    </w:p>
    <w:p w14:paraId="419AC7BF">
      <w:pPr>
        <w:ind w:left="0"/>
        <w:contextualSpacing/>
        <w:jc w:val="left"/>
        <w:rPr>
          <w:rFonts w:hint="default" w:ascii="Times New Roman" w:hAnsi="Times New Roman" w:cs="Times New Roman"/>
          <w:sz w:val="22"/>
          <w:szCs w:val="22"/>
          <w:lang w:val="pt-PT"/>
        </w:rPr>
      </w:pPr>
    </w:p>
    <w:p w14:paraId="419AC7C0">
      <w:pPr>
        <w:keepNext/>
        <w:numPr>
          <w:ilvl w:val="0"/>
          <w:numId w:val="18"/>
        </w:numPr>
        <w:ind w:left="709" w:hanging="709"/>
        <w:jc w:val="both"/>
        <w:outlineLvl w:val="0"/>
        <w:rPr>
          <w:rFonts w:hint="default" w:ascii="Times New Roman" w:hAnsi="Times New Roman" w:cs="Times New Roman"/>
          <w:b/>
          <w:bCs/>
          <w:kern w:val="32"/>
          <w:sz w:val="18"/>
          <w:szCs w:val="18"/>
          <w:lang w:val="pt-PT"/>
        </w:rPr>
      </w:pPr>
      <w:r>
        <w:rPr>
          <w:rFonts w:hint="default" w:ascii="Times New Roman" w:hAnsi="Times New Roman" w:cs="Times New Roman"/>
          <w:b/>
          <w:bCs/>
          <w:kern w:val="32"/>
          <w:sz w:val="18"/>
          <w:szCs w:val="18"/>
          <w:lang w:val="pt-PT"/>
        </w:rPr>
        <w:t xml:space="preserve">Execução </w:t>
      </w:r>
    </w:p>
    <w:p w14:paraId="419AC7C1">
      <w:pPr>
        <w:ind w:left="0"/>
        <w:jc w:val="both"/>
        <w:rPr>
          <w:rFonts w:hint="default" w:ascii="Times New Roman" w:hAnsi="Times New Roman" w:cs="Times New Roman"/>
          <w:sz w:val="18"/>
          <w:szCs w:val="18"/>
          <w:lang w:val="pt-PT"/>
        </w:rPr>
      </w:pPr>
    </w:p>
    <w:p w14:paraId="419AC7C2">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Qualquer indivíduo suspeito de oferecer, prometer ou dar um suborno, solicitar, concordar em receber ou aceitar um suborno ou subornar um funcionário público será investigado sob a política disciplinar da organização e, se for considerado culpado, será demitido por má conduta grave. Para qualquer empreiteiro encontrado para oferecer, prometer ou dar um suborno ou solicitado ou concordou em receber ou aceitar um suborno ou subornar um funcionário público estrangeiro, terá seu contrato rescindido imediatamente, todas as negociações comerciais cessarão e uma compensação financeira será solicitada e será relatada às autoridades, conforme exigido pela Lei.</w:t>
      </w:r>
    </w:p>
    <w:p w14:paraId="419AC7C3">
      <w:pPr>
        <w:ind w:left="0"/>
        <w:jc w:val="both"/>
        <w:rPr>
          <w:rFonts w:hint="default" w:ascii="Times New Roman" w:hAnsi="Times New Roman" w:cs="Times New Roman"/>
          <w:sz w:val="18"/>
          <w:szCs w:val="18"/>
          <w:lang w:val="pt-PT"/>
        </w:rPr>
      </w:pPr>
    </w:p>
    <w:p w14:paraId="419AC7C4">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Se qualquer indivíduo for confrontado com um pedido de suborno, os indivíduos devem apresentar uma cópia ou explicar esta Política Antissuborno e não devem concordar com o suborno em nenhuma circunstância. Todos os veículos devem levar uma cópia da apólice para este fim. </w:t>
      </w:r>
    </w:p>
    <w:p w14:paraId="419AC7C5">
      <w:pPr>
        <w:keepNext/>
        <w:ind w:left="0"/>
        <w:jc w:val="both"/>
        <w:outlineLvl w:val="1"/>
        <w:rPr>
          <w:rFonts w:hint="default" w:ascii="Times New Roman" w:hAnsi="Times New Roman" w:cs="Times New Roman"/>
          <w:sz w:val="18"/>
          <w:szCs w:val="18"/>
          <w:u w:val="single"/>
          <w:lang w:val="pt-PT"/>
        </w:rPr>
      </w:pPr>
      <w:bookmarkStart w:id="3" w:name="_Toc383695906"/>
    </w:p>
    <w:p w14:paraId="419AC7C6">
      <w:pPr>
        <w:keepNext/>
        <w:ind w:left="0"/>
        <w:jc w:val="both"/>
        <w:outlineLvl w:val="1"/>
        <w:rPr>
          <w:rFonts w:hint="default" w:ascii="Times New Roman" w:hAnsi="Times New Roman" w:eastAsia="Calibri" w:cs="Times New Roman"/>
          <w:b/>
          <w:color w:val="000000"/>
          <w:spacing w:val="0"/>
          <w:sz w:val="18"/>
          <w:szCs w:val="18"/>
          <w:lang w:val="pt-PT"/>
        </w:rPr>
      </w:pPr>
      <w:r>
        <w:rPr>
          <w:rFonts w:hint="default" w:ascii="Times New Roman" w:hAnsi="Times New Roman" w:eastAsia="Calibri" w:cs="Times New Roman"/>
          <w:b/>
          <w:color w:val="000000"/>
          <w:spacing w:val="0"/>
          <w:sz w:val="18"/>
          <w:szCs w:val="18"/>
          <w:lang w:val="pt-PT"/>
        </w:rPr>
        <w:t>Presentes e hospitalidade</w:t>
      </w:r>
      <w:bookmarkEnd w:id="3"/>
      <w:bookmarkStart w:id="4" w:name="_Toc383695907"/>
    </w:p>
    <w:bookmarkEnd w:id="4"/>
    <w:p w14:paraId="419AC7C7">
      <w:pPr>
        <w:ind w:left="0"/>
        <w:jc w:val="both"/>
        <w:rPr>
          <w:rFonts w:hint="default" w:ascii="Times New Roman" w:hAnsi="Times New Roman" w:cs="Times New Roman"/>
          <w:sz w:val="18"/>
          <w:szCs w:val="18"/>
          <w:lang w:val="pt-PT"/>
        </w:rPr>
      </w:pPr>
    </w:p>
    <w:p w14:paraId="419AC7C8">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Esta política não proíbe a oferta e receção de brindes promocionais de baixo valor e hospitalidade normal e adequada. Os presentes de baixo valor são definidos como aqueles abaixo de GBP 5,00 ou moeda equivalente. Presentes e hospitalidade podem equivaler a suborno; Por conseguinte, estas não devem ser oferecidas ou dadas com a intenção de persuadir alguém a agir indevidamente ou a influenciar um funcionário público no exercício das suas funções. Quaisquer presentes ou hospitalidade oferecidos devem ser relatados ao Gerente Financeiro do País antes da aceitação e instruções dadas ao indivíduo sobre se o presente deve ou não ser aceito. </w:t>
      </w:r>
    </w:p>
    <w:p w14:paraId="419AC7C9">
      <w:pPr>
        <w:jc w:val="both"/>
        <w:rPr>
          <w:rFonts w:hint="default" w:ascii="Times New Roman" w:hAnsi="Times New Roman" w:cs="Times New Roman"/>
          <w:sz w:val="18"/>
          <w:szCs w:val="18"/>
          <w:lang w:val="pt-PT"/>
        </w:rPr>
      </w:pPr>
    </w:p>
    <w:p w14:paraId="419AC7CA">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Qualquer oferta ou promessa deve ser documentada, quer seja aprovada ou não pelo Country Finance Manager no registo de interesses e ofertas para o país. O Consórcio Malária não distribui presentes, embora no âmbito dos projetos, algumas atividades, tais como incentivos de baixo custo a trabalhadores voluntários, possam ser aceitáveis. Estes devem estar dentro do projeto original e do seu orçamento, conforme acordado com o doador.</w:t>
      </w:r>
    </w:p>
    <w:p w14:paraId="419AC7CB">
      <w:pPr>
        <w:ind w:left="0"/>
        <w:jc w:val="both"/>
        <w:rPr>
          <w:rFonts w:hint="default" w:ascii="Times New Roman" w:hAnsi="Times New Roman" w:cs="Times New Roman"/>
          <w:sz w:val="18"/>
          <w:szCs w:val="18"/>
          <w:lang w:val="pt-PT"/>
        </w:rPr>
      </w:pPr>
    </w:p>
    <w:p w14:paraId="419AC7CC">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O registo será acessível ao Diretor de País, aos auditores internos e externos e ao pessoal regional e da sede que efetua controlos nas visitas ao país.</w:t>
      </w:r>
    </w:p>
    <w:p w14:paraId="419AC7CD">
      <w:pPr>
        <w:ind w:left="0"/>
        <w:jc w:val="both"/>
        <w:rPr>
          <w:rFonts w:hint="default" w:ascii="Times New Roman" w:hAnsi="Times New Roman" w:cs="Times New Roman"/>
          <w:sz w:val="18"/>
          <w:szCs w:val="18"/>
          <w:lang w:val="pt-PT"/>
        </w:rPr>
      </w:pPr>
    </w:p>
    <w:p w14:paraId="419AC7CE">
      <w:pPr>
        <w:keepNext/>
        <w:ind w:left="0"/>
        <w:jc w:val="both"/>
        <w:outlineLvl w:val="1"/>
        <w:rPr>
          <w:rFonts w:hint="default" w:ascii="Times New Roman" w:hAnsi="Times New Roman" w:eastAsia="Calibri" w:cs="Times New Roman"/>
          <w:b/>
          <w:color w:val="000000"/>
          <w:spacing w:val="0"/>
          <w:sz w:val="18"/>
          <w:szCs w:val="18"/>
          <w:lang w:val="pt-PT"/>
        </w:rPr>
      </w:pPr>
      <w:r>
        <w:rPr>
          <w:rFonts w:hint="default" w:ascii="Times New Roman" w:hAnsi="Times New Roman" w:eastAsia="Calibri" w:cs="Times New Roman"/>
          <w:b/>
          <w:color w:val="000000"/>
          <w:spacing w:val="0"/>
          <w:sz w:val="18"/>
          <w:szCs w:val="18"/>
          <w:lang w:val="pt-PT"/>
        </w:rPr>
        <w:t>Facilitação de pagamentos e propinas</w:t>
      </w:r>
    </w:p>
    <w:p w14:paraId="419AC7CF">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O Consórcio Malária não faz, e não aceitará, pagamentos facilitadores ou "propinas" de qualquer tipo. Os pagamentos facilitadores são normalmente pequenos pagamentos não oficiais feitos para garantir ou agilizar uma ação rotineira do governo por um funcionário do governo, por exemplo, para desalfandegar bens ou pessoas através da alfândega. As propinas são normalmente pagamentos feitos em troca de um favor ou vantagem comercial, por exemplo, para reduzir o tempo de entrega de bens e serviços. Todos os funcionários devem evitar qualquer atividade que possa levar a, ou sugerir, que um pagamento de facilitação ou propina será feito ou aceito em nome do Consórcio Malária.</w:t>
      </w:r>
    </w:p>
    <w:p w14:paraId="419AC7D0">
      <w:pPr>
        <w:ind w:left="0"/>
        <w:jc w:val="both"/>
        <w:rPr>
          <w:rFonts w:hint="default" w:ascii="Times New Roman" w:hAnsi="Times New Roman" w:cs="Times New Roman"/>
          <w:sz w:val="18"/>
          <w:szCs w:val="18"/>
          <w:lang w:val="pt-PT"/>
        </w:rPr>
      </w:pPr>
    </w:p>
    <w:p w14:paraId="419AC7D1">
      <w:pPr>
        <w:keepNext/>
        <w:ind w:left="0"/>
        <w:jc w:val="both"/>
        <w:outlineLvl w:val="1"/>
        <w:rPr>
          <w:rFonts w:hint="default" w:ascii="Times New Roman" w:hAnsi="Times New Roman" w:eastAsia="Calibri" w:cs="Times New Roman"/>
          <w:b/>
          <w:color w:val="000000"/>
          <w:spacing w:val="0"/>
          <w:sz w:val="18"/>
          <w:szCs w:val="18"/>
          <w:lang w:val="pt-PT"/>
        </w:rPr>
      </w:pPr>
      <w:bookmarkStart w:id="5" w:name="_Toc383695908"/>
      <w:r>
        <w:rPr>
          <w:rFonts w:hint="default" w:ascii="Times New Roman" w:hAnsi="Times New Roman" w:eastAsia="Calibri" w:cs="Times New Roman"/>
          <w:b/>
          <w:color w:val="000000"/>
          <w:spacing w:val="0"/>
          <w:sz w:val="18"/>
          <w:szCs w:val="18"/>
          <w:lang w:val="pt-PT"/>
        </w:rPr>
        <w:t>Doações</w:t>
      </w:r>
      <w:bookmarkEnd w:id="5"/>
    </w:p>
    <w:p w14:paraId="419AC7D2">
      <w:pPr>
        <w:ind w:left="0"/>
        <w:jc w:val="both"/>
        <w:rPr>
          <w:rFonts w:hint="default" w:ascii="Times New Roman" w:hAnsi="Times New Roman" w:cs="Times New Roman"/>
          <w:color w:val="000000"/>
          <w:sz w:val="18"/>
          <w:szCs w:val="18"/>
          <w:lang w:val="pt-PT"/>
        </w:rPr>
      </w:pPr>
      <w:r>
        <w:rPr>
          <w:rFonts w:hint="default" w:ascii="Times New Roman" w:hAnsi="Times New Roman" w:cs="Times New Roman"/>
          <w:color w:val="000000"/>
          <w:sz w:val="18"/>
          <w:szCs w:val="18"/>
          <w:lang w:val="pt-PT"/>
        </w:rPr>
        <w:t>O Consórcio Malária não faz qualquer tipo de contribuição para os partidos políticos.</w:t>
      </w:r>
    </w:p>
    <w:p w14:paraId="419AC7D3">
      <w:pPr>
        <w:jc w:val="both"/>
        <w:rPr>
          <w:rFonts w:hint="default" w:ascii="Times New Roman" w:hAnsi="Times New Roman" w:cs="Times New Roman"/>
          <w:color w:val="000000"/>
          <w:sz w:val="18"/>
          <w:szCs w:val="18"/>
          <w:lang w:val="pt-PT"/>
        </w:rPr>
      </w:pPr>
    </w:p>
    <w:p w14:paraId="419AC7D4">
      <w:pPr>
        <w:keepNext/>
        <w:ind w:left="0"/>
        <w:jc w:val="both"/>
        <w:outlineLvl w:val="1"/>
        <w:rPr>
          <w:rFonts w:hint="default" w:ascii="Times New Roman" w:hAnsi="Times New Roman" w:eastAsia="Calibri" w:cs="Times New Roman"/>
          <w:b/>
          <w:color w:val="000000"/>
          <w:spacing w:val="0"/>
          <w:sz w:val="18"/>
          <w:szCs w:val="18"/>
          <w:lang w:val="pt-PT"/>
        </w:rPr>
      </w:pPr>
      <w:bookmarkStart w:id="6" w:name="_Toc383695909"/>
      <w:r>
        <w:rPr>
          <w:rFonts w:hint="default" w:ascii="Times New Roman" w:hAnsi="Times New Roman" w:eastAsia="Calibri" w:cs="Times New Roman"/>
          <w:b/>
          <w:color w:val="000000"/>
          <w:spacing w:val="0"/>
          <w:sz w:val="18"/>
          <w:szCs w:val="18"/>
          <w:lang w:val="pt-PT"/>
        </w:rPr>
        <w:t>Sistemas financeiros</w:t>
      </w:r>
      <w:bookmarkEnd w:id="6"/>
    </w:p>
    <w:p w14:paraId="419AC7D5">
      <w:pPr>
        <w:ind w:left="0"/>
        <w:jc w:val="both"/>
        <w:rPr>
          <w:rFonts w:hint="default" w:ascii="Times New Roman" w:hAnsi="Times New Roman" w:cs="Times New Roman"/>
          <w:color w:val="000000"/>
          <w:sz w:val="18"/>
          <w:szCs w:val="18"/>
          <w:lang w:val="pt-PT"/>
        </w:rPr>
      </w:pPr>
      <w:r>
        <w:rPr>
          <w:rFonts w:hint="default" w:ascii="Times New Roman" w:hAnsi="Times New Roman" w:cs="Times New Roman"/>
          <w:color w:val="000000"/>
          <w:sz w:val="18"/>
          <w:szCs w:val="18"/>
          <w:lang w:val="pt-PT"/>
        </w:rPr>
        <w:t>O Consórcio para a Malária manterá registos financeiros e assegurará a existência de controlos internos adequados para garantir a existência de um rasto de provas de quaisquer pagamentos efetuados a terceiros, a fim de evitar a ocorrência de pagamentos corruptos.</w:t>
      </w:r>
    </w:p>
    <w:p w14:paraId="419AC7D6">
      <w:pPr>
        <w:ind w:left="0"/>
        <w:jc w:val="both"/>
        <w:rPr>
          <w:rFonts w:hint="default" w:ascii="Times New Roman" w:hAnsi="Times New Roman" w:cs="Times New Roman"/>
          <w:color w:val="000000"/>
          <w:sz w:val="18"/>
          <w:szCs w:val="18"/>
          <w:lang w:val="pt-PT"/>
        </w:rPr>
      </w:pPr>
    </w:p>
    <w:p w14:paraId="419AC7D7">
      <w:pPr>
        <w:ind w:left="0"/>
        <w:jc w:val="both"/>
        <w:rPr>
          <w:rFonts w:hint="default" w:ascii="Times New Roman" w:hAnsi="Times New Roman" w:cs="Times New Roman"/>
          <w:color w:val="000000"/>
          <w:sz w:val="18"/>
          <w:szCs w:val="18"/>
          <w:lang w:val="pt-PT"/>
        </w:rPr>
      </w:pPr>
      <w:r>
        <w:rPr>
          <w:rFonts w:hint="default" w:ascii="Times New Roman" w:hAnsi="Times New Roman" w:cs="Times New Roman"/>
          <w:color w:val="000000"/>
          <w:sz w:val="18"/>
          <w:szCs w:val="18"/>
          <w:lang w:val="pt-PT"/>
        </w:rPr>
        <w:t>Todas as reclamações de despesas relacionadas com hospitalidade, presentes ou despesas incorridas a terceiros devem ser apresentadas de acordo com os procedimentos financeiros e devem registar especificamente o motivo da despesa.</w:t>
      </w:r>
    </w:p>
    <w:p w14:paraId="419AC7D8">
      <w:pPr>
        <w:ind w:left="0"/>
        <w:jc w:val="both"/>
        <w:rPr>
          <w:rFonts w:hint="default" w:ascii="Times New Roman" w:hAnsi="Times New Roman" w:cs="Times New Roman"/>
          <w:color w:val="000000"/>
          <w:sz w:val="18"/>
          <w:szCs w:val="18"/>
          <w:lang w:val="pt-PT"/>
        </w:rPr>
      </w:pPr>
    </w:p>
    <w:p w14:paraId="419AC7D9">
      <w:pPr>
        <w:ind w:left="0"/>
        <w:jc w:val="both"/>
        <w:rPr>
          <w:rFonts w:hint="default" w:ascii="Times New Roman" w:hAnsi="Times New Roman" w:cs="Times New Roman"/>
          <w:color w:val="000000"/>
          <w:sz w:val="18"/>
          <w:szCs w:val="18"/>
          <w:lang w:val="pt-PT"/>
        </w:rPr>
      </w:pPr>
      <w:r>
        <w:rPr>
          <w:rFonts w:hint="default" w:ascii="Times New Roman" w:hAnsi="Times New Roman" w:cs="Times New Roman"/>
          <w:color w:val="000000"/>
          <w:sz w:val="18"/>
          <w:szCs w:val="18"/>
          <w:lang w:val="pt-PT"/>
        </w:rPr>
        <w:t>Todas as contas, faturas, memorandos e quaisquer outros documentos e registos relativos a relações com terceiros, tais como clientes, fornecedores e outros contactos comerciais, devem ser preparados e mantidos com rigorosa exatidão e integralidade. Nenhuma contabilidade deve ser mantida "fora da contabilidade" para facilitar ou ocultar quaisquer pagamentos.</w:t>
      </w:r>
    </w:p>
    <w:p w14:paraId="419AC7DA">
      <w:pPr>
        <w:ind w:left="0"/>
        <w:jc w:val="both"/>
        <w:rPr>
          <w:rFonts w:hint="default" w:ascii="Times New Roman" w:hAnsi="Times New Roman" w:cs="Times New Roman"/>
          <w:color w:val="000000"/>
          <w:sz w:val="18"/>
          <w:szCs w:val="18"/>
          <w:lang w:val="pt-PT"/>
        </w:rPr>
      </w:pPr>
    </w:p>
    <w:p w14:paraId="419AC7DB">
      <w:pPr>
        <w:keepNext/>
        <w:ind w:left="0"/>
        <w:jc w:val="both"/>
        <w:outlineLvl w:val="1"/>
        <w:rPr>
          <w:rFonts w:hint="default" w:ascii="Times New Roman" w:hAnsi="Times New Roman" w:eastAsia="Calibri" w:cs="Times New Roman"/>
          <w:b/>
          <w:color w:val="000000"/>
          <w:spacing w:val="0"/>
          <w:sz w:val="18"/>
          <w:szCs w:val="18"/>
          <w:lang w:val="pt-PT"/>
        </w:rPr>
      </w:pPr>
      <w:bookmarkStart w:id="7" w:name="_Toc383695910"/>
      <w:r>
        <w:rPr>
          <w:rFonts w:hint="default" w:ascii="Times New Roman" w:hAnsi="Times New Roman" w:eastAsia="Calibri" w:cs="Times New Roman"/>
          <w:b/>
          <w:color w:val="000000"/>
          <w:spacing w:val="0"/>
          <w:sz w:val="18"/>
          <w:szCs w:val="18"/>
          <w:lang w:val="pt-PT"/>
        </w:rPr>
        <w:t>Denúncia</w:t>
      </w:r>
      <w:bookmarkEnd w:id="7"/>
    </w:p>
    <w:p w14:paraId="419AC7DC">
      <w:pPr>
        <w:ind w:left="0"/>
        <w:jc w:val="both"/>
        <w:rPr>
          <w:rFonts w:hint="default" w:ascii="Times New Roman" w:hAnsi="Times New Roman" w:cs="Times New Roman"/>
          <w:color w:val="000000"/>
          <w:sz w:val="18"/>
          <w:szCs w:val="18"/>
          <w:lang w:val="pt-PT"/>
        </w:rPr>
      </w:pPr>
      <w:r>
        <w:rPr>
          <w:rFonts w:hint="default" w:ascii="Times New Roman" w:hAnsi="Times New Roman" w:cs="Times New Roman"/>
          <w:color w:val="000000"/>
          <w:sz w:val="18"/>
          <w:szCs w:val="18"/>
          <w:lang w:val="pt-PT"/>
        </w:rPr>
        <w:t>Os funcionários são incentivados a levantar preocupações sobre qualquer questão ou suspeita de negligência o mais cedo possível, de acordo com a Política de Denúncias do Consórcio da Malária. O Consórcio para a Malária aplicará sanções penais e administrativas de forma robusta para demonstrar uma tolerância zero ao suborno.</w:t>
      </w:r>
    </w:p>
    <w:p w14:paraId="419AC7DD">
      <w:pPr>
        <w:ind w:left="0"/>
        <w:jc w:val="both"/>
        <w:rPr>
          <w:rFonts w:hint="default" w:ascii="Times New Roman" w:hAnsi="Times New Roman" w:cs="Times New Roman"/>
          <w:color w:val="000000"/>
          <w:sz w:val="18"/>
          <w:szCs w:val="18"/>
          <w:lang w:val="pt-PT"/>
        </w:rPr>
      </w:pPr>
    </w:p>
    <w:p w14:paraId="419AC7DE">
      <w:pPr>
        <w:keepNext/>
        <w:ind w:left="0"/>
        <w:jc w:val="both"/>
        <w:outlineLvl w:val="1"/>
        <w:rPr>
          <w:rFonts w:hint="default" w:ascii="Times New Roman" w:hAnsi="Times New Roman" w:eastAsia="Calibri" w:cs="Times New Roman"/>
          <w:b/>
          <w:color w:val="000000"/>
          <w:spacing w:val="0"/>
          <w:sz w:val="18"/>
          <w:szCs w:val="18"/>
          <w:lang w:val="pt-PT"/>
        </w:rPr>
      </w:pPr>
      <w:bookmarkStart w:id="8" w:name="_Toc383695911"/>
      <w:r>
        <w:rPr>
          <w:rFonts w:hint="default" w:ascii="Times New Roman" w:hAnsi="Times New Roman" w:eastAsia="Calibri" w:cs="Times New Roman"/>
          <w:b/>
          <w:color w:val="000000"/>
          <w:spacing w:val="0"/>
          <w:sz w:val="18"/>
          <w:szCs w:val="18"/>
          <w:lang w:val="pt-PT"/>
        </w:rPr>
        <w:t>Monitorização</w:t>
      </w:r>
      <w:bookmarkEnd w:id="8"/>
    </w:p>
    <w:p w14:paraId="419AC7DF">
      <w:pPr>
        <w:ind w:left="0"/>
        <w:jc w:val="both"/>
        <w:rPr>
          <w:rFonts w:hint="default" w:ascii="Times New Roman" w:hAnsi="Times New Roman" w:cs="Times New Roman"/>
          <w:sz w:val="18"/>
          <w:szCs w:val="18"/>
          <w:lang w:val="pt-PT"/>
        </w:rPr>
      </w:pPr>
      <w:r>
        <w:rPr>
          <w:rFonts w:hint="default" w:ascii="Times New Roman" w:hAnsi="Times New Roman" w:cs="Times New Roman"/>
          <w:color w:val="000000"/>
          <w:sz w:val="18"/>
          <w:szCs w:val="18"/>
          <w:lang w:val="pt-PT"/>
        </w:rPr>
        <w:t>A eficácia desta política</w:t>
      </w:r>
      <w:r>
        <w:rPr>
          <w:rFonts w:hint="default" w:ascii="Times New Roman" w:hAnsi="Times New Roman" w:cs="Times New Roman"/>
          <w:sz w:val="18"/>
          <w:szCs w:val="18"/>
          <w:lang w:val="pt-PT"/>
        </w:rPr>
        <w:t xml:space="preserve"> será regularmente revista pelo Conselho de Curadores e os sistemas e procedimentos de controlo interno serão sujeitos a auditoria no âmbito da auditoria interna</w:t>
      </w:r>
    </w:p>
    <w:p w14:paraId="419AC7E0">
      <w:pPr>
        <w:jc w:val="both"/>
        <w:rPr>
          <w:rFonts w:hint="default" w:ascii="Times New Roman" w:hAnsi="Times New Roman" w:cs="Times New Roman"/>
          <w:sz w:val="18"/>
          <w:szCs w:val="18"/>
          <w:lang w:val="pt-PT"/>
        </w:rPr>
      </w:pPr>
    </w:p>
    <w:p w14:paraId="419AC7E1">
      <w:pPr>
        <w:ind w:left="0"/>
        <w:jc w:val="center"/>
        <w:rPr>
          <w:rFonts w:hint="default" w:ascii="Times New Roman" w:hAnsi="Times New Roman" w:eastAsia="Calibri" w:cs="Times New Roman"/>
          <w:b/>
          <w:spacing w:val="0"/>
          <w:sz w:val="22"/>
          <w:szCs w:val="22"/>
          <w:u w:val="none"/>
          <w:lang w:val="pt-PT"/>
        </w:rPr>
      </w:pPr>
      <w:r>
        <w:rPr>
          <w:rFonts w:hint="default" w:ascii="Times New Roman" w:hAnsi="Times New Roman" w:eastAsia="Calibri" w:cs="Times New Roman"/>
          <w:b/>
          <w:spacing w:val="0"/>
          <w:sz w:val="22"/>
          <w:szCs w:val="22"/>
          <w:u w:val="single"/>
          <w:lang w:val="pt-PT"/>
        </w:rPr>
        <w:br w:type="page"/>
      </w:r>
      <w:r>
        <w:rPr>
          <w:rFonts w:hint="default" w:ascii="Times New Roman" w:hAnsi="Times New Roman" w:eastAsia="Calibri" w:cs="Times New Roman"/>
          <w:b/>
          <w:spacing w:val="0"/>
          <w:sz w:val="22"/>
          <w:szCs w:val="22"/>
          <w:u w:val="none"/>
          <w:lang w:val="pt-PT"/>
        </w:rPr>
        <w:t>Política de Combate à Fraude e à Corrupção</w:t>
      </w:r>
    </w:p>
    <w:p w14:paraId="419AC7E2">
      <w:pPr>
        <w:ind w:left="2880"/>
        <w:jc w:val="left"/>
        <w:rPr>
          <w:rFonts w:hint="default" w:ascii="Times New Roman" w:hAnsi="Times New Roman" w:eastAsia="Calibri" w:cs="Times New Roman"/>
          <w:b/>
          <w:spacing w:val="0"/>
          <w:sz w:val="22"/>
          <w:szCs w:val="22"/>
          <w:u w:val="single"/>
          <w:lang w:val="pt-PT"/>
        </w:rPr>
      </w:pPr>
    </w:p>
    <w:p w14:paraId="419AC7E3">
      <w:pPr>
        <w:keepNext/>
        <w:numPr>
          <w:ilvl w:val="0"/>
          <w:numId w:val="20"/>
        </w:numPr>
        <w:ind w:left="709" w:hanging="709"/>
        <w:jc w:val="both"/>
        <w:outlineLvl w:val="0"/>
        <w:rPr>
          <w:rFonts w:hint="default" w:ascii="Times New Roman" w:hAnsi="Times New Roman" w:cs="Times New Roman"/>
          <w:b/>
          <w:bCs/>
          <w:spacing w:val="0"/>
          <w:kern w:val="32"/>
          <w:sz w:val="18"/>
          <w:szCs w:val="18"/>
          <w:lang w:val="pt-PT" w:eastAsia="en-GB"/>
        </w:rPr>
      </w:pPr>
      <w:r>
        <w:rPr>
          <w:rFonts w:hint="default" w:ascii="Times New Roman" w:hAnsi="Times New Roman" w:cs="Times New Roman"/>
          <w:b/>
          <w:bCs/>
          <w:kern w:val="32"/>
          <w:sz w:val="18"/>
          <w:szCs w:val="18"/>
          <w:lang w:val="pt-PT"/>
        </w:rPr>
        <w:t>Finalidade e contexto</w:t>
      </w:r>
    </w:p>
    <w:p w14:paraId="419AC7E4">
      <w:pPr>
        <w:ind w:left="0"/>
        <w:jc w:val="both"/>
        <w:rPr>
          <w:rFonts w:hint="default" w:ascii="Times New Roman" w:hAnsi="Times New Roman" w:cs="Times New Roman"/>
          <w:sz w:val="18"/>
          <w:szCs w:val="18"/>
          <w:lang w:val="pt-PT"/>
        </w:rPr>
      </w:pPr>
    </w:p>
    <w:p w14:paraId="419AC7E5">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O objetivo da política anticorrupção e contra a fraude do Consórcio contra a Malária é minimizar a fraude através de uma série de medidas, incluindo políticas e processos claros, auditorias internas e externas regulares e formação para todo o pessoal.</w:t>
      </w:r>
    </w:p>
    <w:p w14:paraId="419AC7E6">
      <w:p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 </w:t>
      </w:r>
    </w:p>
    <w:p w14:paraId="419AC7E7">
      <w:pPr>
        <w:keepNext/>
        <w:numPr>
          <w:ilvl w:val="0"/>
          <w:numId w:val="20"/>
        </w:numPr>
        <w:ind w:left="709" w:hanging="709"/>
        <w:jc w:val="both"/>
        <w:outlineLvl w:val="0"/>
        <w:rPr>
          <w:rFonts w:hint="default" w:ascii="Times New Roman" w:hAnsi="Times New Roman" w:cs="Times New Roman"/>
          <w:b/>
          <w:bCs/>
          <w:kern w:val="32"/>
          <w:sz w:val="18"/>
          <w:szCs w:val="18"/>
          <w:lang w:val="pt-PT"/>
        </w:rPr>
      </w:pPr>
      <w:r>
        <w:rPr>
          <w:rFonts w:hint="default" w:ascii="Times New Roman" w:hAnsi="Times New Roman" w:cs="Times New Roman"/>
          <w:b/>
          <w:bCs/>
          <w:kern w:val="32"/>
          <w:sz w:val="18"/>
          <w:szCs w:val="18"/>
          <w:lang w:val="pt-PT"/>
        </w:rPr>
        <w:t>Princípios</w:t>
      </w:r>
    </w:p>
    <w:p w14:paraId="419AC7E8">
      <w:pPr>
        <w:ind w:left="0"/>
        <w:jc w:val="both"/>
        <w:rPr>
          <w:rFonts w:hint="default" w:ascii="Times New Roman" w:hAnsi="Times New Roman" w:cs="Times New Roman"/>
          <w:sz w:val="18"/>
          <w:szCs w:val="18"/>
          <w:lang w:val="pt-PT"/>
        </w:rPr>
      </w:pPr>
    </w:p>
    <w:p w14:paraId="419AC7E9">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O Consórcio Malária está empenhado em investigar toda e qualquer suspeita de atos de fraude, apropriação indevida ou outra irregularidade semelhante.  A deteção de fraude e corrupção é da responsabilidade de todos e, se for detetado qualquer incidente ou potencial incidente, o pessoal deve comunicá-lo imediatamente, conforme exigido pela política de denúncias do Consórcio para a Malária.</w:t>
      </w:r>
    </w:p>
    <w:p w14:paraId="419AC7EA">
      <w:pPr>
        <w:jc w:val="both"/>
        <w:rPr>
          <w:rFonts w:hint="default" w:ascii="Times New Roman" w:hAnsi="Times New Roman" w:cs="Times New Roman"/>
          <w:sz w:val="18"/>
          <w:szCs w:val="18"/>
          <w:lang w:val="pt-PT"/>
        </w:rPr>
      </w:pPr>
    </w:p>
    <w:p w14:paraId="419AC7EB">
      <w:pPr>
        <w:keepNext/>
        <w:numPr>
          <w:ilvl w:val="0"/>
          <w:numId w:val="20"/>
        </w:numPr>
        <w:ind w:left="709" w:hanging="709"/>
        <w:jc w:val="both"/>
        <w:outlineLvl w:val="0"/>
        <w:rPr>
          <w:rFonts w:hint="default" w:ascii="Times New Roman" w:hAnsi="Times New Roman" w:cs="Times New Roman"/>
          <w:b/>
          <w:bCs/>
          <w:kern w:val="32"/>
          <w:sz w:val="18"/>
          <w:szCs w:val="18"/>
          <w:lang w:val="pt-PT"/>
        </w:rPr>
      </w:pPr>
      <w:r>
        <w:rPr>
          <w:rFonts w:hint="default" w:ascii="Times New Roman" w:hAnsi="Times New Roman" w:cs="Times New Roman"/>
          <w:b/>
          <w:bCs/>
          <w:kern w:val="32"/>
          <w:sz w:val="18"/>
          <w:szCs w:val="18"/>
          <w:lang w:val="pt-PT"/>
        </w:rPr>
        <w:t>Âmbito de aplicação</w:t>
      </w:r>
    </w:p>
    <w:p w14:paraId="419AC7EC">
      <w:pPr>
        <w:ind w:left="0"/>
        <w:jc w:val="both"/>
        <w:rPr>
          <w:rFonts w:hint="default" w:ascii="Times New Roman" w:hAnsi="Times New Roman" w:cs="Times New Roman"/>
          <w:sz w:val="18"/>
          <w:szCs w:val="18"/>
          <w:lang w:val="pt-PT"/>
        </w:rPr>
      </w:pPr>
    </w:p>
    <w:p w14:paraId="419AC7ED">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O Consórcio Malária está empenhado em manter uma reputação intacta junto dos seus doadores, parceiros, beneficiários e fornecedores. Todos os funcionários e prestadores de serviços do Consórcio Malária têm a obrigação de manter a integridade em todas as ações e devem evitar circunstâncias que comprometam suas decisões ou ações. Todos os colaboradores devem assegurar que as práticas empresariais éticas e os interesses da organização são observados.</w:t>
      </w:r>
    </w:p>
    <w:p w14:paraId="419AC7EE">
      <w:pPr>
        <w:jc w:val="both"/>
        <w:rPr>
          <w:rFonts w:hint="default" w:ascii="Times New Roman" w:hAnsi="Times New Roman" w:cs="Times New Roman"/>
          <w:sz w:val="18"/>
          <w:szCs w:val="18"/>
          <w:lang w:val="pt-PT"/>
        </w:rPr>
      </w:pPr>
    </w:p>
    <w:p w14:paraId="419AC7EF">
      <w:pPr>
        <w:ind w:left="0"/>
        <w:jc w:val="both"/>
        <w:rPr>
          <w:rFonts w:hint="default" w:ascii="Times New Roman" w:hAnsi="Times New Roman" w:cs="Times New Roman"/>
          <w:color w:val="000000"/>
          <w:sz w:val="18"/>
          <w:szCs w:val="18"/>
          <w:lang w:val="pt-PT"/>
        </w:rPr>
      </w:pPr>
      <w:r>
        <w:rPr>
          <w:rFonts w:hint="default" w:ascii="Times New Roman" w:hAnsi="Times New Roman" w:cs="Times New Roman"/>
          <w:sz w:val="18"/>
          <w:szCs w:val="18"/>
          <w:lang w:val="pt-PT"/>
        </w:rPr>
        <w:t xml:space="preserve">É uma violação grave das políticas do Consórcio Malária que funcionários ou prestadores de serviços conscientemente ocultem, falsificem ou deturpem um fato relevante relacionado a qualquer transação. A deturpação pode incluir, mas não está limitada a: assinar para receber bens ou serviços ainda não recebidos ou concluídos, ou alterar qualquer documento para disfarçar ou alterar o resultado, incluindo a retroatividade de </w:t>
      </w:r>
      <w:r>
        <w:rPr>
          <w:rFonts w:hint="default" w:ascii="Times New Roman" w:hAnsi="Times New Roman" w:cs="Times New Roman"/>
          <w:color w:val="000000"/>
          <w:sz w:val="18"/>
          <w:szCs w:val="18"/>
          <w:lang w:val="pt-PT"/>
        </w:rPr>
        <w:t>documentos. Para os funcionários, as violações comprovadas levarão a medidas disciplinares até a demissão do emprego e ações legais. Para os prestadores de serviços, as violações comprovadas resultarão na rescisão imediata do seu contrato e na cessação de todos os negócios comerciais.</w:t>
      </w:r>
    </w:p>
    <w:p w14:paraId="419AC7F0">
      <w:pPr>
        <w:jc w:val="both"/>
        <w:rPr>
          <w:rFonts w:hint="default" w:ascii="Times New Roman" w:hAnsi="Times New Roman" w:cs="Times New Roman"/>
          <w:color w:val="000000"/>
          <w:sz w:val="18"/>
          <w:szCs w:val="18"/>
          <w:lang w:val="pt-PT"/>
        </w:rPr>
      </w:pPr>
    </w:p>
    <w:p w14:paraId="419AC7F1">
      <w:pPr>
        <w:keepNext/>
        <w:numPr>
          <w:ilvl w:val="0"/>
          <w:numId w:val="20"/>
        </w:numPr>
        <w:ind w:left="709" w:hanging="709"/>
        <w:jc w:val="both"/>
        <w:outlineLvl w:val="0"/>
        <w:rPr>
          <w:rFonts w:hint="default" w:ascii="Times New Roman" w:hAnsi="Times New Roman" w:cs="Times New Roman"/>
          <w:b/>
          <w:bCs/>
          <w:color w:val="000000"/>
          <w:kern w:val="32"/>
          <w:sz w:val="18"/>
          <w:szCs w:val="18"/>
          <w:lang w:val="pt-PT"/>
        </w:rPr>
      </w:pPr>
      <w:r>
        <w:rPr>
          <w:rFonts w:hint="default" w:ascii="Times New Roman" w:hAnsi="Times New Roman" w:cs="Times New Roman"/>
          <w:b/>
          <w:bCs/>
          <w:color w:val="000000"/>
          <w:kern w:val="32"/>
          <w:sz w:val="18"/>
          <w:szCs w:val="18"/>
          <w:lang w:val="pt-PT"/>
        </w:rPr>
        <w:t>Definição e termos</w:t>
      </w:r>
    </w:p>
    <w:p w14:paraId="419AC7F2">
      <w:pPr>
        <w:ind w:left="0"/>
        <w:jc w:val="both"/>
        <w:outlineLvl w:val="2"/>
        <w:rPr>
          <w:rFonts w:hint="default" w:ascii="Times New Roman" w:hAnsi="Times New Roman" w:cs="Times New Roman"/>
          <w:color w:val="000000"/>
          <w:sz w:val="18"/>
          <w:szCs w:val="18"/>
          <w:lang w:val="pt-PT"/>
        </w:rPr>
      </w:pPr>
    </w:p>
    <w:p w14:paraId="419AC7F3">
      <w:pPr>
        <w:ind w:left="0"/>
        <w:jc w:val="both"/>
        <w:outlineLvl w:val="2"/>
        <w:rPr>
          <w:rFonts w:hint="default" w:ascii="Times New Roman" w:hAnsi="Times New Roman" w:cs="Times New Roman"/>
          <w:sz w:val="18"/>
          <w:szCs w:val="18"/>
          <w:lang w:val="pt-PT"/>
        </w:rPr>
      </w:pPr>
      <w:r>
        <w:rPr>
          <w:rFonts w:hint="default" w:ascii="Times New Roman" w:hAnsi="Times New Roman" w:cs="Times New Roman"/>
          <w:sz w:val="18"/>
          <w:szCs w:val="18"/>
          <w:lang w:val="pt-PT"/>
        </w:rPr>
        <w:t>A fraude é definida na Lei de Uganda, como falsa representação, falha na divulgação de informações ou abuso de posição, a fim de obter um ganho para si ou para outro ou para causar ou expor outro a um risco de perda. A fraude abrange um ato de engano, suborno, falsificação, extorsão, roubo, apropriação indevida, falsa representação, conspiração, corrupção, conluio, peculato ou ocultação de factos materiais.</w:t>
      </w:r>
    </w:p>
    <w:p w14:paraId="419AC7F4">
      <w:pPr>
        <w:ind w:left="0"/>
        <w:jc w:val="both"/>
        <w:outlineLvl w:val="2"/>
        <w:rPr>
          <w:rFonts w:hint="default" w:ascii="Times New Roman" w:hAnsi="Times New Roman" w:cs="Times New Roman"/>
          <w:sz w:val="18"/>
          <w:szCs w:val="18"/>
          <w:lang w:val="pt-PT"/>
        </w:rPr>
      </w:pPr>
    </w:p>
    <w:p w14:paraId="419AC7F5">
      <w:pPr>
        <w:ind w:left="0"/>
        <w:jc w:val="both"/>
        <w:outlineLvl w:val="2"/>
        <w:rPr>
          <w:rFonts w:hint="default" w:ascii="Times New Roman" w:hAnsi="Times New Roman" w:cs="Times New Roman"/>
          <w:sz w:val="18"/>
          <w:szCs w:val="18"/>
          <w:lang w:val="pt-PT"/>
        </w:rPr>
      </w:pPr>
      <w:r>
        <w:rPr>
          <w:rFonts w:hint="default" w:ascii="Times New Roman" w:hAnsi="Times New Roman" w:cs="Times New Roman"/>
          <w:sz w:val="18"/>
          <w:szCs w:val="18"/>
          <w:lang w:val="pt-PT"/>
        </w:rPr>
        <w:t>Anticorrupção: refere-se às medidas tomadas para erradicar ou prevenir condutas desonestas ou fraudulentas.</w:t>
      </w:r>
    </w:p>
    <w:p w14:paraId="419AC7F6">
      <w:pPr>
        <w:ind w:left="0"/>
        <w:jc w:val="both"/>
        <w:outlineLvl w:val="2"/>
        <w:rPr>
          <w:rFonts w:hint="default" w:ascii="Times New Roman" w:hAnsi="Times New Roman" w:cs="Times New Roman"/>
          <w:sz w:val="18"/>
          <w:szCs w:val="18"/>
          <w:lang w:val="pt-PT"/>
        </w:rPr>
      </w:pPr>
    </w:p>
    <w:p w14:paraId="419AC7F7">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Tanto a corrupção como a fraude equivalem a abuso e roubo. Os atos de fraude e corrupção incluem, entre outros:</w:t>
      </w:r>
    </w:p>
    <w:p w14:paraId="419AC7F8">
      <w:pPr>
        <w:numPr>
          <w:ilvl w:val="0"/>
          <w:numId w:val="21"/>
        </w:numPr>
        <w:ind w:left="720"/>
        <w:jc w:val="both"/>
        <w:rPr>
          <w:rFonts w:hint="default" w:ascii="Times New Roman" w:hAnsi="Times New Roman" w:cs="Times New Roman"/>
          <w:spacing w:val="0"/>
          <w:sz w:val="18"/>
          <w:szCs w:val="18"/>
          <w:lang w:val="pt-PT" w:eastAsia="en-GB"/>
        </w:rPr>
      </w:pPr>
      <w:r>
        <w:rPr>
          <w:rFonts w:hint="default" w:ascii="Times New Roman" w:hAnsi="Times New Roman" w:cs="Times New Roman"/>
          <w:sz w:val="18"/>
          <w:szCs w:val="18"/>
          <w:lang w:val="pt-PT"/>
        </w:rPr>
        <w:t>Falsificação de folhas de ponto ou registros de folha de pagamento</w:t>
      </w:r>
    </w:p>
    <w:p w14:paraId="419AC7F9">
      <w:pPr>
        <w:numPr>
          <w:ilvl w:val="0"/>
          <w:numId w:val="21"/>
        </w:numPr>
        <w:ind w:left="72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Falsificação de despesas de viagem e entretenimento </w:t>
      </w:r>
    </w:p>
    <w:p w14:paraId="419AC7FA">
      <w:pPr>
        <w:numPr>
          <w:ilvl w:val="0"/>
          <w:numId w:val="21"/>
        </w:numPr>
        <w:ind w:left="72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Comunicação fictícia de recebimentos de fornecedores ou envios a clientes</w:t>
      </w:r>
    </w:p>
    <w:p w14:paraId="419AC7FB">
      <w:pPr>
        <w:numPr>
          <w:ilvl w:val="0"/>
          <w:numId w:val="21"/>
        </w:numPr>
        <w:ind w:left="72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Criação de faturas ou ordens de compra falsas, incluindo a retroatividade de documentos</w:t>
      </w:r>
    </w:p>
    <w:p w14:paraId="419AC7FC">
      <w:pPr>
        <w:numPr>
          <w:ilvl w:val="0"/>
          <w:numId w:val="21"/>
        </w:numPr>
        <w:ind w:left="72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Apropriação indevida de equipamentos, recursos e até dados do Consórcio Malária e doadores</w:t>
      </w:r>
    </w:p>
    <w:p w14:paraId="419AC7FD">
      <w:pPr>
        <w:numPr>
          <w:ilvl w:val="0"/>
          <w:numId w:val="21"/>
        </w:numPr>
        <w:ind w:left="72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Distorção de resultados</w:t>
      </w:r>
    </w:p>
    <w:p w14:paraId="419AC7FE">
      <w:pPr>
        <w:numPr>
          <w:ilvl w:val="0"/>
          <w:numId w:val="21"/>
        </w:numPr>
        <w:ind w:left="72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Inexatidão de ativos</w:t>
      </w:r>
    </w:p>
    <w:p w14:paraId="419AC7FF">
      <w:pPr>
        <w:numPr>
          <w:ilvl w:val="0"/>
          <w:numId w:val="21"/>
        </w:numPr>
        <w:ind w:left="72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Subavaliação do passivo</w:t>
      </w:r>
    </w:p>
    <w:p w14:paraId="419AC800">
      <w:pPr>
        <w:numPr>
          <w:ilvl w:val="0"/>
          <w:numId w:val="21"/>
        </w:numPr>
        <w:ind w:left="72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O pagamento de subornos, ou seja, o pagamento a outra pessoa para induzir uma determinada ação a partir dela, isso inclui pagamentos a funcionários como policiais solicitando pagamentos não oficiais em bloqueios de estradas</w:t>
      </w:r>
    </w:p>
    <w:p w14:paraId="419AC801">
      <w:pPr>
        <w:numPr>
          <w:ilvl w:val="0"/>
          <w:numId w:val="21"/>
        </w:numPr>
        <w:ind w:left="72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Receber dinheiro ou presentes para realizar uma determinada ação, por exemplo, encomendar com um fornecedor específico </w:t>
      </w:r>
    </w:p>
    <w:p w14:paraId="419AC802">
      <w:pPr>
        <w:numPr>
          <w:ilvl w:val="0"/>
          <w:numId w:val="21"/>
        </w:numPr>
        <w:ind w:left="72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Obtenção de rendimentos ou bens do Consórcio contra a Malária por engano</w:t>
      </w:r>
    </w:p>
    <w:p w14:paraId="419AC803">
      <w:pPr>
        <w:numPr>
          <w:ilvl w:val="0"/>
          <w:numId w:val="21"/>
        </w:numPr>
        <w:ind w:left="72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Alegação de prestação de serviços a beneficiários que não existem, e outras formas de identificação de fraudes</w:t>
      </w:r>
    </w:p>
    <w:p w14:paraId="419AC804">
      <w:pPr>
        <w:ind w:left="360"/>
        <w:jc w:val="both"/>
        <w:rPr>
          <w:rFonts w:hint="default" w:ascii="Times New Roman" w:hAnsi="Times New Roman" w:cs="Times New Roman"/>
          <w:sz w:val="18"/>
          <w:szCs w:val="18"/>
          <w:lang w:val="pt-PT"/>
        </w:rPr>
      </w:pPr>
    </w:p>
    <w:p w14:paraId="419AC805">
      <w:pPr>
        <w:keepNext/>
        <w:ind w:left="0"/>
        <w:jc w:val="both"/>
        <w:outlineLvl w:val="0"/>
        <w:rPr>
          <w:rFonts w:hint="default" w:ascii="Times New Roman" w:hAnsi="Times New Roman" w:cs="Times New Roman"/>
          <w:b/>
          <w:bCs/>
          <w:kern w:val="32"/>
          <w:sz w:val="18"/>
          <w:szCs w:val="18"/>
          <w:lang w:val="pt-PT"/>
        </w:rPr>
      </w:pPr>
      <w:r>
        <w:rPr>
          <w:rFonts w:hint="default" w:ascii="Times New Roman" w:hAnsi="Times New Roman" w:cs="Times New Roman"/>
          <w:b/>
          <w:bCs/>
          <w:kern w:val="32"/>
          <w:sz w:val="18"/>
          <w:szCs w:val="18"/>
          <w:lang w:val="pt-PT"/>
        </w:rPr>
        <w:t>5.</w:t>
      </w:r>
      <w:r>
        <w:rPr>
          <w:rFonts w:hint="default" w:ascii="Times New Roman" w:hAnsi="Times New Roman" w:cs="Times New Roman"/>
          <w:b/>
          <w:bCs/>
          <w:kern w:val="32"/>
          <w:sz w:val="18"/>
          <w:szCs w:val="18"/>
          <w:lang w:val="pt-PT"/>
        </w:rPr>
        <w:tab/>
      </w:r>
      <w:r>
        <w:rPr>
          <w:rFonts w:hint="default" w:ascii="Times New Roman" w:hAnsi="Times New Roman" w:cs="Times New Roman"/>
          <w:b/>
          <w:bCs/>
          <w:kern w:val="32"/>
          <w:sz w:val="18"/>
          <w:szCs w:val="18"/>
          <w:lang w:val="pt-PT"/>
        </w:rPr>
        <w:t xml:space="preserve">Execução </w:t>
      </w:r>
    </w:p>
    <w:p w14:paraId="419AC806">
      <w:pPr>
        <w:keepNext/>
        <w:ind w:left="0"/>
        <w:jc w:val="both"/>
        <w:outlineLvl w:val="1"/>
        <w:rPr>
          <w:rFonts w:hint="default" w:ascii="Times New Roman" w:hAnsi="Times New Roman" w:eastAsia="Calibri" w:cs="Times New Roman"/>
          <w:sz w:val="18"/>
          <w:szCs w:val="18"/>
          <w:u w:val="single"/>
          <w:lang w:val="pt-PT"/>
        </w:rPr>
      </w:pPr>
      <w:bookmarkStart w:id="9" w:name="_Toc383695901"/>
    </w:p>
    <w:p w14:paraId="419AC807">
      <w:pPr>
        <w:keepNext/>
        <w:ind w:left="0"/>
        <w:jc w:val="both"/>
        <w:outlineLvl w:val="1"/>
        <w:rPr>
          <w:rFonts w:hint="default" w:ascii="Times New Roman" w:hAnsi="Times New Roman" w:eastAsia="Calibri" w:cs="Times New Roman"/>
          <w:sz w:val="18"/>
          <w:szCs w:val="18"/>
          <w:u w:val="single"/>
          <w:lang w:val="pt-PT"/>
        </w:rPr>
      </w:pPr>
      <w:r>
        <w:rPr>
          <w:rFonts w:hint="default" w:ascii="Times New Roman" w:hAnsi="Times New Roman" w:eastAsia="Calibri" w:cs="Times New Roman"/>
          <w:sz w:val="18"/>
          <w:szCs w:val="18"/>
          <w:u w:val="single"/>
          <w:lang w:val="pt-PT"/>
        </w:rPr>
        <w:t>Passos para mitigar a ocorrência</w:t>
      </w:r>
      <w:bookmarkEnd w:id="9"/>
    </w:p>
    <w:p w14:paraId="419AC808">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A organização adota as seguintes medidas antifraude para minimizar o risco de atividade fraudulenta:</w:t>
      </w:r>
    </w:p>
    <w:p w14:paraId="419AC809">
      <w:pPr>
        <w:numPr>
          <w:ilvl w:val="0"/>
          <w:numId w:val="22"/>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Políticas claras sobre a conduta esperada do pessoal na organização, por exemplo, Anti-Suborno e Código de Conduta comunicados como parte do programa de indução e atualizações do pessoal em reuniões de equipa.</w:t>
      </w:r>
    </w:p>
    <w:p w14:paraId="419AC80A">
      <w:pPr>
        <w:numPr>
          <w:ilvl w:val="0"/>
          <w:numId w:val="22"/>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Regista e investiga todas as incidências, incluindo suspeitas e fraudes confirmadas, de acordo com as orientações da MC sobre a condução de uma investigação de fraude.</w:t>
      </w:r>
    </w:p>
    <w:p w14:paraId="419AC80B">
      <w:pPr>
        <w:numPr>
          <w:ilvl w:val="0"/>
          <w:numId w:val="22"/>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Denuncia fraudes à polícia e à Comissão de Caridade.</w:t>
      </w:r>
    </w:p>
    <w:p w14:paraId="419AC80C">
      <w:pPr>
        <w:numPr>
          <w:ilvl w:val="0"/>
          <w:numId w:val="22"/>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Implementa controlos sólidos e informa o pessoal sobre os procedimentos e medidas em vigor.</w:t>
      </w:r>
    </w:p>
    <w:p w14:paraId="419AC80D">
      <w:pPr>
        <w:numPr>
          <w:ilvl w:val="0"/>
          <w:numId w:val="22"/>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Assegura a manutenção de registos de todas as receitas e despesas e a adequação dos recibos, faturas e documentos comprovativos.</w:t>
      </w:r>
    </w:p>
    <w:p w14:paraId="419AC80E">
      <w:pPr>
        <w:numPr>
          <w:ilvl w:val="0"/>
          <w:numId w:val="22"/>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Verifica se os controlos financeiros não são anulados, ignorados ou ignorados</w:t>
      </w:r>
    </w:p>
    <w:p w14:paraId="419AC80F">
      <w:pPr>
        <w:numPr>
          <w:ilvl w:val="0"/>
          <w:numId w:val="22"/>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Reconcilia contas bancárias mensalmente e realiza verificações à vista</w:t>
      </w:r>
    </w:p>
    <w:p w14:paraId="419AC810">
      <w:pPr>
        <w:numPr>
          <w:ilvl w:val="0"/>
          <w:numId w:val="22"/>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Usa níveis hierárquicos de autoridade delegada e assinatura para todos os pagamentos</w:t>
      </w:r>
    </w:p>
    <w:p w14:paraId="419AC811">
      <w:pPr>
        <w:numPr>
          <w:ilvl w:val="0"/>
          <w:numId w:val="22"/>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Restringe e monitora de perto o acesso a informações confidenciais</w:t>
      </w:r>
    </w:p>
    <w:p w14:paraId="419AC812">
      <w:pPr>
        <w:numPr>
          <w:ilvl w:val="0"/>
          <w:numId w:val="22"/>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Implementa uma função de Auditoria Interna que analisa processos e procedimentos com base no risco</w:t>
      </w:r>
    </w:p>
    <w:p w14:paraId="419AC813">
      <w:pPr>
        <w:numPr>
          <w:ilvl w:val="0"/>
          <w:numId w:val="22"/>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Estabelece funções claramente definidas para o pessoal que incluem a separação de funções</w:t>
      </w:r>
    </w:p>
    <w:p w14:paraId="419AC814">
      <w:pPr>
        <w:ind w:left="0"/>
        <w:jc w:val="both"/>
        <w:rPr>
          <w:rFonts w:hint="default" w:ascii="Times New Roman" w:hAnsi="Times New Roman" w:cs="Times New Roman"/>
          <w:sz w:val="18"/>
          <w:szCs w:val="18"/>
          <w:lang w:val="pt-PT"/>
        </w:rPr>
      </w:pPr>
    </w:p>
    <w:p w14:paraId="419AC815">
      <w:pPr>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O Consórcio contra a Malária tem tolerância zero à fraude e à corrupção. O Consórcio para a Malária aplicará sanções rigorosas para combater a fraude e a corrupção, incluindo medidas disciplinares e a comunicação de suspeitas de atividades criminosas à polícia.</w:t>
      </w:r>
    </w:p>
    <w:p w14:paraId="419AC816">
      <w:pPr>
        <w:ind w:left="0"/>
        <w:jc w:val="both"/>
        <w:rPr>
          <w:rFonts w:hint="default" w:ascii="Times New Roman" w:hAnsi="Times New Roman" w:cs="Times New Roman"/>
          <w:sz w:val="18"/>
          <w:szCs w:val="18"/>
          <w:lang w:val="pt-PT"/>
        </w:rPr>
      </w:pPr>
    </w:p>
    <w:p w14:paraId="419AC817">
      <w:pPr>
        <w:ind w:left="0"/>
        <w:jc w:val="both"/>
        <w:rPr>
          <w:rFonts w:hint="default" w:ascii="Times New Roman" w:hAnsi="Times New Roman" w:cs="Times New Roman"/>
          <w:sz w:val="18"/>
          <w:szCs w:val="18"/>
          <w:lang w:val="pt-PT"/>
        </w:rPr>
      </w:pPr>
    </w:p>
    <w:p w14:paraId="419AC818">
      <w:pPr>
        <w:ind w:left="0"/>
        <w:jc w:val="both"/>
        <w:rPr>
          <w:rFonts w:hint="default" w:ascii="Times New Roman" w:hAnsi="Times New Roman" w:cs="Times New Roman"/>
          <w:sz w:val="18"/>
          <w:szCs w:val="18"/>
          <w:lang w:val="pt-PT"/>
        </w:rPr>
      </w:pPr>
    </w:p>
    <w:p w14:paraId="419AC819">
      <w:pPr>
        <w:autoSpaceDE w:val="0"/>
        <w:autoSpaceDN w:val="0"/>
        <w:adjustRightInd w:val="0"/>
        <w:ind w:left="0"/>
        <w:jc w:val="center"/>
        <w:rPr>
          <w:rFonts w:hint="default" w:ascii="Times New Roman" w:hAnsi="Times New Roman" w:cs="Times New Roman"/>
          <w:b/>
          <w:bCs/>
          <w:spacing w:val="0"/>
          <w:sz w:val="22"/>
          <w:szCs w:val="22"/>
          <w:u w:val="none"/>
          <w:lang w:val="pt-PT" w:eastAsia="en-GB"/>
        </w:rPr>
      </w:pPr>
      <w:r>
        <w:rPr>
          <w:rFonts w:hint="default" w:ascii="Times New Roman" w:hAnsi="Times New Roman" w:cs="Times New Roman"/>
          <w:b/>
          <w:bCs/>
          <w:spacing w:val="0"/>
          <w:sz w:val="18"/>
          <w:szCs w:val="18"/>
          <w:u w:val="single"/>
          <w:lang w:val="pt-PT" w:eastAsia="en-GB"/>
        </w:rPr>
        <w:br w:type="page"/>
      </w:r>
      <w:r>
        <w:rPr>
          <w:rFonts w:hint="default" w:ascii="Times New Roman" w:hAnsi="Times New Roman" w:cs="Times New Roman"/>
          <w:b/>
          <w:bCs/>
          <w:spacing w:val="0"/>
          <w:sz w:val="22"/>
          <w:szCs w:val="22"/>
          <w:u w:val="none"/>
          <w:lang w:val="pt-PT" w:eastAsia="en-GB"/>
        </w:rPr>
        <w:t>Política de Salvaguarda</w:t>
      </w:r>
    </w:p>
    <w:p w14:paraId="419AC81A">
      <w:pPr>
        <w:autoSpaceDE w:val="0"/>
        <w:autoSpaceDN w:val="0"/>
        <w:adjustRightInd w:val="0"/>
        <w:ind w:left="0"/>
        <w:jc w:val="center"/>
        <w:rPr>
          <w:rFonts w:hint="default" w:ascii="Times New Roman" w:hAnsi="Times New Roman" w:cs="Times New Roman"/>
          <w:spacing w:val="0"/>
          <w:sz w:val="22"/>
          <w:szCs w:val="22"/>
          <w:u w:val="none"/>
          <w:lang w:val="pt-PT" w:eastAsia="en-GB"/>
        </w:rPr>
      </w:pPr>
    </w:p>
    <w:p w14:paraId="419AC81B">
      <w:pPr>
        <w:pStyle w:val="2"/>
        <w:tabs>
          <w:tab w:val="center" w:pos="1435"/>
          <w:tab w:val="center" w:pos="3437"/>
        </w:tabs>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1. Finalidade e contexto </w:t>
      </w:r>
    </w:p>
    <w:p w14:paraId="419AC81C">
      <w:pPr>
        <w:ind w:left="0" w:right="135"/>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 Consórcio contra a Malária trabalha com comunidades, governos, instituições académicas e organizações locais e internacionais para garantir a prestação eficaz de serviços.  Nosso trabalho muitas vezes coloca aqueles que trabalham para nós em posição de poder em relação a crianças e adultos vulneráveis nas comunidades com as quais trabalhamos e temos a obrigação de não abusar desse poder. A nossa capacidade de garantir a proteção de crianças e adultos vulneráveis depende da capacidade dos funcionários e parceiros de manter e promover os mais elevados padrões de conduta ética e profissional.  </w:t>
      </w:r>
    </w:p>
    <w:p w14:paraId="419AC81D">
      <w:pPr>
        <w:ind w:left="989" w:right="135"/>
        <w:jc w:val="both"/>
        <w:rPr>
          <w:rFonts w:hint="default" w:ascii="Times New Roman" w:hAnsi="Times New Roman" w:cs="Times New Roman"/>
          <w:sz w:val="18"/>
          <w:szCs w:val="18"/>
          <w:lang w:val="pt-PT"/>
        </w:rPr>
      </w:pPr>
    </w:p>
    <w:p w14:paraId="419AC81E">
      <w:pPr>
        <w:ind w:left="0" w:right="135"/>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 Consórcio Malária tem um forte compromisso com o bem-estar de todos os beneficiários e sua proteção contra assédio, abuso e exploração para fornecer salvaguardas em todo o nosso trabalho com as comunidades. As crianças e os adultos vulneráveis dessas comunidades podem estar particularmente expostos a riscos e, é uma responsabilidade coletiva prevenir o abuso e a exploração.  </w:t>
      </w:r>
    </w:p>
    <w:p w14:paraId="419AC81F">
      <w:pPr>
        <w:ind w:left="0" w:right="135"/>
        <w:jc w:val="both"/>
        <w:rPr>
          <w:rFonts w:hint="default" w:ascii="Times New Roman" w:hAnsi="Times New Roman" w:cs="Times New Roman"/>
          <w:sz w:val="18"/>
          <w:szCs w:val="18"/>
          <w:lang w:val="pt-PT"/>
        </w:rPr>
      </w:pPr>
    </w:p>
    <w:p w14:paraId="419AC820">
      <w:pPr>
        <w:ind w:left="0" w:right="135"/>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Ao reconhecer a nossa responsabilidade de proteger as crianças e os adultos vulneráveis de quaisquer danos que possam ser causados devido ao seu contacto com a organização, o Consórcio contra a Malária desenvolveu uma Política de Salvaguarda, que descreve este compromisso e as suas implicações. Esta política visa dissuadir, minimizar e remover oportunidades de ocorrência de abuso e inclui detalhes de como quaisquer supostas violações da política podem ser relatadas.  </w:t>
      </w:r>
    </w:p>
    <w:p w14:paraId="419AC821">
      <w:pPr>
        <w:ind w:left="0" w:right="135"/>
        <w:jc w:val="both"/>
        <w:rPr>
          <w:rFonts w:hint="default" w:ascii="Times New Roman" w:hAnsi="Times New Roman" w:cs="Times New Roman"/>
          <w:sz w:val="18"/>
          <w:szCs w:val="18"/>
          <w:lang w:val="pt-PT"/>
        </w:rPr>
      </w:pPr>
    </w:p>
    <w:p w14:paraId="419AC822">
      <w:pPr>
        <w:ind w:left="0" w:right="135"/>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 Política de Salvaguarda é acompanhada de apêndices contendo informações de referência, orientações, formulários essenciais (por exemplo, Formulário de Notificação de Incidentes de Salvaguarda) e deve ser lida em conjunto com os seus apêndices e o </w:t>
      </w:r>
      <w:r>
        <w:rPr>
          <w:rFonts w:hint="default" w:ascii="Times New Roman" w:hAnsi="Times New Roman" w:cs="Times New Roman"/>
          <w:color w:val="008080"/>
          <w:sz w:val="18"/>
          <w:szCs w:val="18"/>
          <w:lang w:val="pt-PT"/>
        </w:rPr>
        <w:t xml:space="preserve">Código de Conduta, a Política de Igualdade de Oportunidades </w:t>
      </w:r>
      <w:r>
        <w:rPr>
          <w:rFonts w:hint="default" w:ascii="Times New Roman" w:hAnsi="Times New Roman" w:cs="Times New Roman"/>
          <w:sz w:val="18"/>
          <w:szCs w:val="18"/>
          <w:lang w:val="pt-PT"/>
        </w:rPr>
        <w:t xml:space="preserve">e  a </w:t>
      </w:r>
      <w:r>
        <w:rPr>
          <w:rFonts w:hint="default" w:ascii="Times New Roman" w:hAnsi="Times New Roman" w:cs="Times New Roman"/>
          <w:color w:val="008080"/>
          <w:sz w:val="18"/>
          <w:szCs w:val="18"/>
          <w:lang w:val="pt-PT"/>
        </w:rPr>
        <w:t xml:space="preserve">Política de Dignidade no Trabalho. </w:t>
      </w:r>
    </w:p>
    <w:p w14:paraId="419AC823">
      <w:pPr>
        <w:spacing w:after="180" w:line="275" w:lineRule="auto"/>
        <w:ind w:left="0"/>
        <w:jc w:val="left"/>
        <w:rPr>
          <w:rFonts w:hint="default" w:ascii="Times New Roman" w:hAnsi="Times New Roman" w:cs="Times New Roman"/>
          <w:lang w:val="pt-PT"/>
        </w:rPr>
      </w:pPr>
    </w:p>
    <w:p w14:paraId="419AC824">
      <w:pPr>
        <w:spacing w:after="180" w:line="275" w:lineRule="auto"/>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Esta política está alinhada com as normas internacionais gerais, incluindo a Convenção das Nações Unidas sobre os Direitos da Criança.  A organização cumprirá as leis relativas ao tráfico de seres humanos, conforme estabelecido na nossa </w:t>
      </w:r>
      <w:r>
        <w:rPr>
          <w:rFonts w:hint="default" w:ascii="Times New Roman" w:hAnsi="Times New Roman" w:cs="Times New Roman"/>
          <w:sz w:val="18"/>
          <w:szCs w:val="18"/>
        </w:rPr>
        <w:fldChar w:fldCharType="begin"/>
      </w:r>
      <w:r>
        <w:rPr>
          <w:rFonts w:hint="default" w:ascii="Times New Roman" w:hAnsi="Times New Roman" w:cs="Times New Roman"/>
          <w:sz w:val="18"/>
          <w:szCs w:val="18"/>
          <w:lang w:val="pt-PT"/>
        </w:rPr>
        <w:instrText xml:space="preserve">HYPERLINK "https://www.malariaconsortium.org/gallery-file/02151052-91/malaria_consortium__modern_slavery_statement_201819.pdf" \h</w:instrText>
      </w:r>
      <w:r>
        <w:rPr>
          <w:rFonts w:hint="default" w:ascii="Times New Roman" w:hAnsi="Times New Roman" w:cs="Times New Roman"/>
          <w:sz w:val="18"/>
          <w:szCs w:val="18"/>
        </w:rPr>
        <w:fldChar w:fldCharType="separate"/>
      </w:r>
      <w:r>
        <w:rPr>
          <w:rFonts w:hint="default" w:ascii="Times New Roman" w:hAnsi="Times New Roman" w:cs="Times New Roman"/>
          <w:color w:val="007C71"/>
          <w:sz w:val="18"/>
          <w:szCs w:val="18"/>
          <w:u w:val="single" w:color="007C71"/>
          <w:lang w:val="pt-PT"/>
        </w:rPr>
        <w:t>Declaração sobre a Escravatura Moderna</w:t>
      </w:r>
      <w:r>
        <w:rPr>
          <w:rFonts w:hint="default" w:ascii="Times New Roman" w:hAnsi="Times New Roman" w:cs="Times New Roman"/>
          <w:sz w:val="18"/>
          <w:szCs w:val="18"/>
        </w:rPr>
        <w:fldChar w:fldCharType="end"/>
      </w:r>
      <w:r>
        <w:rPr>
          <w:rFonts w:hint="default" w:ascii="Times New Roman" w:hAnsi="Times New Roman" w:cs="Times New Roman"/>
          <w:sz w:val="18"/>
          <w:szCs w:val="18"/>
        </w:rPr>
        <w:fldChar w:fldCharType="begin"/>
      </w:r>
      <w:r>
        <w:rPr>
          <w:rFonts w:hint="default" w:ascii="Times New Roman" w:hAnsi="Times New Roman" w:cs="Times New Roman"/>
          <w:sz w:val="18"/>
          <w:szCs w:val="18"/>
          <w:lang w:val="pt-PT"/>
        </w:rPr>
        <w:instrText xml:space="preserve">HYPERLINK "https://www.malariaconsortium.org/gallery-file/02151052-91/malaria_consortium__modern_slavery_statement_201819.pdf" \h</w:instrText>
      </w:r>
      <w:r>
        <w:rPr>
          <w:rFonts w:hint="default" w:ascii="Times New Roman" w:hAnsi="Times New Roman" w:cs="Times New Roman"/>
          <w:sz w:val="18"/>
          <w:szCs w:val="18"/>
        </w:rPr>
        <w:fldChar w:fldCharType="separate"/>
      </w:r>
      <w:r>
        <w:rPr>
          <w:rFonts w:hint="default" w:ascii="Times New Roman" w:hAnsi="Times New Roman" w:cs="Times New Roman"/>
          <w:sz w:val="18"/>
          <w:szCs w:val="18"/>
          <w:lang w:val="pt-PT"/>
        </w:rPr>
        <w:t>.</w:t>
      </w:r>
      <w:r>
        <w:rPr>
          <w:rFonts w:hint="default" w:ascii="Times New Roman" w:hAnsi="Times New Roman" w:cs="Times New Roman"/>
          <w:sz w:val="18"/>
          <w:szCs w:val="18"/>
        </w:rPr>
        <w:fldChar w:fldCharType="end"/>
      </w:r>
      <w:r>
        <w:rPr>
          <w:rFonts w:hint="default" w:ascii="Times New Roman" w:hAnsi="Times New Roman" w:cs="Times New Roman"/>
          <w:sz w:val="18"/>
          <w:szCs w:val="18"/>
          <w:lang w:val="pt-PT"/>
        </w:rPr>
        <w:t xml:space="preserve"> Embora os funcionários e parceiros do Consórcio contra a Malária cumpram a legislação local, se os padrões descritos nesta política forem mais fortes do que a legislação local, então esta política deve ser seguida.  </w:t>
      </w:r>
    </w:p>
    <w:p w14:paraId="419AC825">
      <w:pPr>
        <w:spacing w:after="486"/>
        <w:ind w:left="0" w:right="137"/>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 Política de Salvaguarda aplica-se a todos os membros do pessoal; qualquer falha em manter os padrões descritos na política pode resultar em ação disciplinar ou demissão, de acordo com os procedimentos disciplinares do Consórcio Malária. Todos os colaboradores e parceiros; Espera-se que curadores, consultores, contratados, voluntários, estagiários, agências parceiras, subbeneficiários, agentes comunitários e visitantes de projetos cumpram esta política. </w:t>
      </w:r>
    </w:p>
    <w:p w14:paraId="419AC826">
      <w:pPr>
        <w:pStyle w:val="2"/>
        <w:tabs>
          <w:tab w:val="center" w:pos="1435"/>
          <w:tab w:val="center" w:pos="2715"/>
        </w:tabs>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2. Princípios </w:t>
      </w:r>
    </w:p>
    <w:p w14:paraId="419AC827">
      <w:pPr>
        <w:spacing w:after="391"/>
        <w:ind w:left="0" w:right="3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 Política de Salvaguarda está comprometida e orienta-se pelo seguinte conjunto de princípios: </w:t>
      </w:r>
    </w:p>
    <w:p w14:paraId="419AC828">
      <w:pPr>
        <w:pStyle w:val="3"/>
        <w:spacing w:after="21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2.1 Cumprimento obrigatório </w:t>
      </w:r>
    </w:p>
    <w:p w14:paraId="419AC829">
      <w:pPr>
        <w:spacing w:after="5" w:line="269" w:lineRule="auto"/>
        <w:ind w:left="0" w:right="3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Os funcionários e parceiros do Consórcio da Malária devem certificar-se de que compreendem a Política de Salvaguarda, as suas responsabilidades e como comunicar quaisquer irregularidades ou preocupações. Esta política e os anexos que a acompanham são obrigatórios para todos os funcionários e parceiros do Consórcio contra a Malária e não serão feitas exceções. </w:t>
      </w:r>
    </w:p>
    <w:p w14:paraId="419AC82A">
      <w:pPr>
        <w:spacing w:after="257" w:line="250" w:lineRule="auto"/>
        <w:ind w:left="0" w:right="61"/>
        <w:jc w:val="both"/>
        <w:rPr>
          <w:rFonts w:hint="default" w:ascii="Times New Roman" w:hAnsi="Times New Roman" w:eastAsia="Calibri" w:cs="Times New Roman"/>
          <w:sz w:val="18"/>
          <w:szCs w:val="18"/>
          <w:lang w:val="pt-PT"/>
        </w:rPr>
      </w:pPr>
      <w:r>
        <w:rPr>
          <w:rFonts w:hint="default" w:ascii="Times New Roman" w:hAnsi="Times New Roman" w:eastAsia="Calibri" w:cs="Times New Roman"/>
          <w:sz w:val="18"/>
          <w:szCs w:val="18"/>
          <w:lang w:val="pt-PT"/>
        </w:rPr>
        <w:t xml:space="preserve">O Consórcio contra a Malária cumpre os requisitos de comunicação dos doadores e dos organismos relevantes sobre as preocupações com a salvaguarda e o tráfico de seres humanos. </w:t>
      </w:r>
    </w:p>
    <w:p w14:paraId="419AC82B">
      <w:pPr>
        <w:pStyle w:val="3"/>
        <w:spacing w:after="21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2.2 Manutenção dos direitos de proteção </w:t>
      </w:r>
    </w:p>
    <w:p w14:paraId="419AC82C">
      <w:pPr>
        <w:numPr>
          <w:ilvl w:val="0"/>
          <w:numId w:val="23"/>
        </w:numPr>
        <w:spacing w:after="50"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Todas as crianças e adultos vulneráveis têm direitos iguais à proteção contra danos. Devem ser capacitados para compreender os seus direitos neste domínio e sensibilizados para o que é aceitável e para o que podem fazer em caso de problema ou preocupação.  </w:t>
      </w:r>
    </w:p>
    <w:p w14:paraId="419AC82D">
      <w:pPr>
        <w:numPr>
          <w:ilvl w:val="0"/>
          <w:numId w:val="23"/>
        </w:numPr>
        <w:spacing w:after="30"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Todos têm a responsabilidade de apoiar a proteção das crianças e dos adultos vulneráveis. </w:t>
      </w:r>
    </w:p>
    <w:p w14:paraId="419AC82E">
      <w:pPr>
        <w:numPr>
          <w:ilvl w:val="0"/>
          <w:numId w:val="23"/>
        </w:numPr>
        <w:spacing w:after="50"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As organizações têm o dever de cuidar das crianças e dos adultos vulneráveis com quem trabalham, estão em contacto ou que são afetados pelo seu trabalho e operações. </w:t>
      </w:r>
    </w:p>
    <w:p w14:paraId="419AC82F">
      <w:pPr>
        <w:numPr>
          <w:ilvl w:val="0"/>
          <w:numId w:val="23"/>
        </w:numPr>
        <w:spacing w:after="52"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Se trabalharem com parceiros, as organizações têm a responsabilidade de ajudar qualquer parceiro a cumprir os requisitos mínimos de proteção. </w:t>
      </w:r>
    </w:p>
    <w:p w14:paraId="419AC830">
      <w:pPr>
        <w:numPr>
          <w:ilvl w:val="0"/>
          <w:numId w:val="23"/>
        </w:numPr>
        <w:spacing w:after="50"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Os direitos humanos das crianças e dos adultos vulneráveis serão respeitados e todas as pessoas com quem a organização entrar em contacto serão tratadas com respeito e dignidade, independentemente da idade, deficiência, sexo, estado civil, raça, religião ou crença; género e orientação sexual. </w:t>
      </w:r>
    </w:p>
    <w:p w14:paraId="419AC831">
      <w:pPr>
        <w:numPr>
          <w:ilvl w:val="0"/>
          <w:numId w:val="23"/>
        </w:numPr>
        <w:spacing w:after="52"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Nenhuma forma de discriminação, assédio ou abuso (físico, sexual ou verbal), intimidação ou exploração é aceitável. </w:t>
      </w:r>
    </w:p>
    <w:p w14:paraId="419AC832">
      <w:pPr>
        <w:numPr>
          <w:ilvl w:val="0"/>
          <w:numId w:val="23"/>
        </w:numPr>
        <w:spacing w:after="161"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 superior interesse da criança ou do adulto vulnerável orientará as decisões de salvaguarda. </w:t>
      </w:r>
    </w:p>
    <w:p w14:paraId="419AC833">
      <w:pPr>
        <w:spacing w:after="161" w:line="269" w:lineRule="auto"/>
        <w:ind w:left="426" w:right="30"/>
        <w:jc w:val="left"/>
        <w:rPr>
          <w:rFonts w:hint="default" w:ascii="Times New Roman" w:hAnsi="Times New Roman" w:cs="Times New Roman"/>
          <w:lang w:val="pt-PT"/>
        </w:rPr>
      </w:pPr>
    </w:p>
    <w:p w14:paraId="419AC834">
      <w:pPr>
        <w:pStyle w:val="3"/>
        <w:spacing w:after="241"/>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2.3 Tolerância zero ao abuso e à exploração </w:t>
      </w:r>
    </w:p>
    <w:p w14:paraId="419AC835">
      <w:pPr>
        <w:numPr>
          <w:ilvl w:val="0"/>
          <w:numId w:val="24"/>
        </w:numPr>
        <w:spacing w:after="52" w:line="269" w:lineRule="auto"/>
        <w:ind w:left="426" w:right="135"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 Consórcio para a Malária aplica uma abordagem de tolerância zero ao abuso e à exploração. [Em nenhuma circunstância será tolerado qualquer abuso por parte do pessoal e parceiros do Consórcio da Malária, e quaisquer casos serão tratados de acordo com os procedimentos disciplinares do Consórcio da Malária e encaminhados para as autoridades locais]. </w:t>
      </w:r>
    </w:p>
    <w:p w14:paraId="419AC836">
      <w:pPr>
        <w:numPr>
          <w:ilvl w:val="0"/>
          <w:numId w:val="24"/>
        </w:numPr>
        <w:spacing w:after="50" w:line="269" w:lineRule="auto"/>
        <w:ind w:left="426" w:right="135"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 organização é aberta e transparente. As preocupações de salvaguarda serão levantadas e discutidas, as más práticas e o comportamento inadequado serão desafiados e abordados, e as medidas de salvaguarda serão continuamente revistas e reforçadas para garantir que a organização permaneça responsável perante as crianças e os adultos vulneráveis. </w:t>
      </w:r>
    </w:p>
    <w:p w14:paraId="419AC837">
      <w:pPr>
        <w:numPr>
          <w:ilvl w:val="0"/>
          <w:numId w:val="24"/>
        </w:numPr>
        <w:spacing w:after="52" w:line="269" w:lineRule="auto"/>
        <w:ind w:left="426" w:right="135"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Os gestores têm a responsabilidade particular de defender os mais elevados padrões, dar um bom exemplo e criar um ambiente de trabalho que apoie e capacite o pessoal. Têm a responsabilidade de compreender e promover a política. Devem fazer tudo o que estiver ao seu alcance para prevenir, comunicar e responder adequadamente a qualquer preocupação ou potencial violação da política. </w:t>
      </w:r>
    </w:p>
    <w:p w14:paraId="419AC838">
      <w:pPr>
        <w:numPr>
          <w:ilvl w:val="0"/>
          <w:numId w:val="24"/>
        </w:numPr>
        <w:spacing w:after="53" w:line="269" w:lineRule="auto"/>
        <w:ind w:left="426" w:right="135"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 tolerância zero em relação a comportamentos inadequados aplica-se independentemente de um incidente comprovado ocorrer dentro ou fora do horário de trabalho. </w:t>
      </w:r>
    </w:p>
    <w:p w14:paraId="419AC839">
      <w:pPr>
        <w:numPr>
          <w:ilvl w:val="0"/>
          <w:numId w:val="24"/>
        </w:numPr>
        <w:spacing w:after="505" w:line="269" w:lineRule="auto"/>
        <w:ind w:left="426" w:right="135"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 abordagem de salvaguarda do Consórcio da Malária prevalece em todas as fases das nossas operações, projetos e atividades, garantindo assim que a organização não prejudique crianças e adultos vulneráveis.  </w:t>
      </w:r>
    </w:p>
    <w:p w14:paraId="419AC83A">
      <w:pPr>
        <w:pStyle w:val="2"/>
        <w:tabs>
          <w:tab w:val="center" w:pos="1435"/>
          <w:tab w:val="center" w:pos="2467"/>
        </w:tabs>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3 </w:t>
      </w:r>
      <w:r>
        <w:rPr>
          <w:rFonts w:hint="default" w:ascii="Times New Roman" w:hAnsi="Times New Roman" w:cs="Times New Roman"/>
          <w:sz w:val="18"/>
          <w:szCs w:val="18"/>
          <w:lang w:val="pt-PT"/>
        </w:rPr>
        <w:tab/>
      </w:r>
      <w:r>
        <w:rPr>
          <w:rFonts w:hint="default" w:ascii="Times New Roman" w:hAnsi="Times New Roman" w:cs="Times New Roman"/>
          <w:sz w:val="18"/>
          <w:szCs w:val="18"/>
          <w:lang w:val="pt-PT"/>
        </w:rPr>
        <w:t xml:space="preserve">Âmbito de aplicação </w:t>
      </w:r>
    </w:p>
    <w:p w14:paraId="419AC83B">
      <w:pPr>
        <w:ind w:left="0" w:right="3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 política aplica-se a todos os funcionários e parceiros: administradores, consultores, contratados, voluntários, estagiários, agências parceiras, sub-beneficiários, agentes comunitários e visitantes de projetos. Nesta política, entende-se por "Membros do pessoal" todas estas categorias.  </w:t>
      </w:r>
    </w:p>
    <w:p w14:paraId="419AC83C">
      <w:pPr>
        <w:pStyle w:val="2"/>
        <w:tabs>
          <w:tab w:val="center" w:pos="1435"/>
          <w:tab w:val="center" w:pos="3507"/>
        </w:tabs>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4 </w:t>
      </w:r>
      <w:r>
        <w:rPr>
          <w:rFonts w:hint="default" w:ascii="Times New Roman" w:hAnsi="Times New Roman" w:eastAsia="Arial" w:cs="Times New Roman"/>
          <w:sz w:val="18"/>
          <w:szCs w:val="18"/>
          <w:lang w:val="pt-PT"/>
        </w:rPr>
        <w:tab/>
      </w:r>
      <w:r>
        <w:rPr>
          <w:rFonts w:hint="default" w:ascii="Times New Roman" w:hAnsi="Times New Roman" w:cs="Times New Roman"/>
          <w:sz w:val="18"/>
          <w:szCs w:val="18"/>
          <w:lang w:val="pt-PT"/>
        </w:rPr>
        <w:t xml:space="preserve">Definições e termos </w:t>
      </w:r>
    </w:p>
    <w:p w14:paraId="419AC83D">
      <w:pPr>
        <w:ind w:left="0" w:right="3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As seguintes definições serão utilizadas em toda a política. No apêndice I encontram-se outras definições.  </w:t>
      </w:r>
    </w:p>
    <w:p w14:paraId="419AC83E">
      <w:pPr>
        <w:ind w:left="0" w:right="30"/>
        <w:jc w:val="both"/>
        <w:rPr>
          <w:rFonts w:hint="default" w:ascii="Times New Roman" w:hAnsi="Times New Roman" w:eastAsia="Calibri" w:cs="Times New Roman"/>
          <w:b/>
          <w:sz w:val="18"/>
          <w:szCs w:val="18"/>
          <w:lang w:val="pt-PT"/>
        </w:rPr>
      </w:pPr>
    </w:p>
    <w:p w14:paraId="419AC83F">
      <w:pPr>
        <w:ind w:left="0" w:right="30"/>
        <w:jc w:val="both"/>
        <w:rPr>
          <w:rFonts w:hint="default" w:ascii="Times New Roman" w:hAnsi="Times New Roman" w:cs="Times New Roman"/>
          <w:sz w:val="18"/>
          <w:szCs w:val="18"/>
          <w:lang w:val="pt-PT"/>
        </w:rPr>
      </w:pPr>
      <w:r>
        <w:rPr>
          <w:rFonts w:hint="default" w:ascii="Times New Roman" w:hAnsi="Times New Roman" w:eastAsia="Calibri" w:cs="Times New Roman"/>
          <w:b/>
          <w:sz w:val="18"/>
          <w:szCs w:val="18"/>
          <w:lang w:val="pt-PT"/>
        </w:rPr>
        <w:t xml:space="preserve">Criança: </w:t>
      </w:r>
      <w:r>
        <w:rPr>
          <w:rFonts w:hint="default" w:ascii="Times New Roman" w:hAnsi="Times New Roman" w:cs="Times New Roman"/>
          <w:sz w:val="18"/>
          <w:szCs w:val="18"/>
          <w:lang w:val="pt-PT"/>
        </w:rPr>
        <w:t xml:space="preserve">Esta política considera uma criança como qualquer pessoa com idade inferior a 18 anos, independentemente de definições locais alternativas.  </w:t>
      </w:r>
    </w:p>
    <w:p w14:paraId="419AC840">
      <w:pPr>
        <w:ind w:left="0" w:right="30"/>
        <w:jc w:val="both"/>
        <w:rPr>
          <w:rFonts w:hint="default" w:ascii="Times New Roman" w:hAnsi="Times New Roman" w:cs="Times New Roman"/>
          <w:sz w:val="18"/>
          <w:szCs w:val="18"/>
          <w:lang w:val="pt-PT"/>
        </w:rPr>
      </w:pPr>
      <w:r>
        <w:rPr>
          <w:rFonts w:hint="default" w:ascii="Times New Roman" w:hAnsi="Times New Roman" w:eastAsia="Calibri" w:cs="Times New Roman"/>
          <w:b/>
          <w:sz w:val="18"/>
          <w:szCs w:val="18"/>
          <w:lang w:val="pt-PT"/>
        </w:rPr>
        <w:t>Proteção</w:t>
      </w:r>
      <w:r>
        <w:rPr>
          <w:rFonts w:hint="default" w:ascii="Times New Roman" w:hAnsi="Times New Roman" w:cs="Times New Roman"/>
          <w:sz w:val="18"/>
          <w:szCs w:val="18"/>
          <w:lang w:val="pt-PT"/>
        </w:rPr>
        <w:t xml:space="preserve">: A proteção inclui a garantia de que os direitos humanos básicos individuais, o bem-estar e a segurança física são reconhecidos, salvaguardados e protegidos em conformidade com as normas internacionais. </w:t>
      </w:r>
    </w:p>
    <w:p w14:paraId="419AC841">
      <w:pPr>
        <w:ind w:left="0" w:right="135"/>
        <w:jc w:val="both"/>
        <w:rPr>
          <w:rFonts w:hint="default" w:ascii="Times New Roman" w:hAnsi="Times New Roman" w:cs="Times New Roman"/>
          <w:sz w:val="18"/>
          <w:szCs w:val="18"/>
          <w:lang w:val="pt-PT"/>
        </w:rPr>
      </w:pPr>
      <w:r>
        <w:rPr>
          <w:rFonts w:hint="default" w:ascii="Times New Roman" w:hAnsi="Times New Roman" w:eastAsia="Calibri" w:cs="Times New Roman"/>
          <w:b/>
          <w:sz w:val="18"/>
          <w:szCs w:val="18"/>
          <w:lang w:val="pt-PT"/>
        </w:rPr>
        <w:t>Salvaguarda:</w:t>
      </w:r>
      <w:r>
        <w:rPr>
          <w:rFonts w:hint="default" w:ascii="Times New Roman" w:hAnsi="Times New Roman" w:cs="Times New Roman"/>
          <w:sz w:val="18"/>
          <w:szCs w:val="18"/>
          <w:lang w:val="pt-PT"/>
        </w:rPr>
        <w:t xml:space="preserve"> salvaguarda é a combinação de políticas e ações empreendidas para proteger crianças e adultos vulneráveis, mitigando riscos, respondendo e encaminhando casos, para garantir que não haja danos como resultado da associação com a organização.   </w:t>
      </w:r>
    </w:p>
    <w:p w14:paraId="419AC842">
      <w:pPr>
        <w:ind w:left="0" w:right="136"/>
        <w:jc w:val="both"/>
        <w:rPr>
          <w:rFonts w:hint="default" w:ascii="Times New Roman" w:hAnsi="Times New Roman" w:cs="Times New Roman"/>
          <w:sz w:val="18"/>
          <w:szCs w:val="18"/>
          <w:lang w:val="pt-PT"/>
        </w:rPr>
      </w:pPr>
      <w:r>
        <w:rPr>
          <w:rFonts w:hint="default" w:ascii="Times New Roman" w:hAnsi="Times New Roman" w:eastAsia="Calibri" w:cs="Times New Roman"/>
          <w:b/>
          <w:sz w:val="18"/>
          <w:szCs w:val="18"/>
          <w:lang w:val="pt-PT"/>
        </w:rPr>
        <w:t>Exploração sexual:</w:t>
      </w:r>
      <w:r>
        <w:rPr>
          <w:rFonts w:hint="default" w:ascii="Times New Roman" w:hAnsi="Times New Roman" w:cs="Times New Roman"/>
          <w:sz w:val="18"/>
          <w:szCs w:val="18"/>
          <w:lang w:val="pt-PT"/>
        </w:rPr>
        <w:t xml:space="preserve"> É o abuso de vulnerabilidade, poder diferencial ou confiança para fins sexuais, o que inclui lucrar monetariamente, social ou politicamente com a exploração sexual de outrem. A prostituição, o tráfico de seres humanos para abuso sexual, a escravatura moderna e a exploração são apenas alguns exemplos disso.  </w:t>
      </w:r>
    </w:p>
    <w:p w14:paraId="419AC843">
      <w:pPr>
        <w:spacing w:after="508"/>
        <w:ind w:left="0" w:right="135"/>
        <w:jc w:val="both"/>
        <w:rPr>
          <w:rFonts w:hint="default" w:ascii="Times New Roman" w:hAnsi="Times New Roman" w:cs="Times New Roman"/>
          <w:sz w:val="18"/>
          <w:szCs w:val="18"/>
          <w:lang w:val="pt-PT"/>
        </w:rPr>
      </w:pPr>
      <w:r>
        <w:rPr>
          <w:rFonts w:hint="default" w:ascii="Times New Roman" w:hAnsi="Times New Roman" w:eastAsia="Calibri" w:cs="Times New Roman"/>
          <w:b/>
          <w:sz w:val="18"/>
          <w:szCs w:val="18"/>
          <w:lang w:val="pt-PT"/>
        </w:rPr>
        <w:t>Adulto vulnerável</w:t>
      </w:r>
      <w:r>
        <w:rPr>
          <w:rFonts w:hint="default" w:ascii="Times New Roman" w:hAnsi="Times New Roman" w:cs="Times New Roman"/>
          <w:sz w:val="18"/>
          <w:szCs w:val="18"/>
          <w:lang w:val="pt-PT"/>
        </w:rPr>
        <w:t xml:space="preserve">: é definido como alguém com mais de 18 anos incapaz de cuidar de si / proteger-se de danos ou exploração, ou que, devido ao seu sexo, saúde mental ou física, deficiência, ou como resultado de desastres e conflitos, são considerados em risco de serem abusados. </w:t>
      </w:r>
    </w:p>
    <w:p w14:paraId="419AC844">
      <w:pPr>
        <w:pStyle w:val="2"/>
        <w:tabs>
          <w:tab w:val="center" w:pos="1435"/>
          <w:tab w:val="center" w:pos="3145"/>
        </w:tabs>
        <w:ind w:left="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          Execução  </w:t>
      </w:r>
    </w:p>
    <w:p w14:paraId="419AC845">
      <w:pPr>
        <w:ind w:left="0" w:right="3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 Consórcio contra a Malária trabalhará para reduzir o risco de abuso e exploração de crianças e adultos vulneráveis por funcionários e parceiros, seguindo os procedimentos descritos abaixo. </w:t>
      </w:r>
    </w:p>
    <w:p w14:paraId="419AC846">
      <w:pPr>
        <w:spacing w:after="389"/>
        <w:ind w:left="0" w:right="136"/>
        <w:jc w:val="both"/>
        <w:rPr>
          <w:rFonts w:hint="default" w:ascii="Times New Roman" w:hAnsi="Times New Roman" w:cs="Times New Roman"/>
          <w:sz w:val="18"/>
          <w:szCs w:val="18"/>
          <w:lang w:val="pt-PT"/>
        </w:rPr>
      </w:pPr>
    </w:p>
    <w:p w14:paraId="419AC847">
      <w:pPr>
        <w:spacing w:after="389"/>
        <w:ind w:left="0" w:right="136"/>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Para cada país onde o Consórcio contra a Malária opera, o Diretor Nacional atuará como Ponto Focal de Salvaguarda. Para o escritório do Reino Unido, o ponto focal será o Diretor de RH. O ponto focal de salvaguarda servirá como primeiro ponto de contacto para quaisquer preocupações de salvaguarda e pessoal de apoio na compreensão das responsabilidades de salvaguarda do Consórcio para a Malária. Existe um Administrador designado que atua como Ponto Focal de Proteção da organização que supervisiona a implementação desta política. </w:t>
      </w:r>
    </w:p>
    <w:p w14:paraId="419AC848">
      <w:pPr>
        <w:pStyle w:val="3"/>
        <w:numPr>
          <w:ilvl w:val="1"/>
          <w:numId w:val="18"/>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Prevenção </w:t>
      </w:r>
    </w:p>
    <w:p w14:paraId="419AC849">
      <w:pPr>
        <w:pStyle w:val="4"/>
        <w:numPr>
          <w:ilvl w:val="0"/>
          <w:numId w:val="0"/>
        </w:numPr>
        <w:jc w:val="both"/>
        <w:rPr>
          <w:rFonts w:hint="default" w:ascii="Times New Roman" w:hAnsi="Times New Roman" w:cs="Times New Roman"/>
          <w:sz w:val="18"/>
          <w:szCs w:val="18"/>
          <w:lang w:val="pt-PT"/>
        </w:rPr>
      </w:pPr>
    </w:p>
    <w:p w14:paraId="419AC84A">
      <w:pPr>
        <w:pStyle w:val="4"/>
        <w:numPr>
          <w:ilvl w:val="2"/>
          <w:numId w:val="18"/>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Avaliação de riscos e conceção de programas </w:t>
      </w:r>
    </w:p>
    <w:p w14:paraId="68861987">
      <w:pPr>
        <w:numPr>
          <w:ilvl w:val="0"/>
          <w:numId w:val="0"/>
        </w:numPr>
        <w:ind w:leftChars="0"/>
        <w:rPr>
          <w:rFonts w:hint="default"/>
          <w:lang w:val="pt-PT"/>
        </w:rPr>
      </w:pPr>
    </w:p>
    <w:p w14:paraId="419AC84B">
      <w:pPr>
        <w:ind w:left="0" w:right="135"/>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O Consórcio para a Malária conceberá os programas de uma forma que tenha em conta os riscos potenciais para as crianças e os adultos vulneráveis e atue no sentido de minimizar quaisquer riscos identificados. Os riscos podem ser intencionais ou não, e podem ser de funcionários do Consórcio contra a Malária, voluntários, fornecedores ou outros associados à organização. Os riscos também podem ser acidentais, como uma atividade em que se espera que as mães deixem os filhos em casa sem vigilância. O Consórcio para a Malária incorpora a salvaguarda em qualquer avaliação de risco normalizada que realize aquando da conceção de um novo projeto (ver</w:t>
      </w:r>
      <w:r>
        <w:rPr>
          <w:rFonts w:hint="default" w:ascii="Times New Roman" w:hAnsi="Times New Roman" w:eastAsia="Calibri" w:cs="Times New Roman"/>
          <w:b/>
          <w:sz w:val="18"/>
          <w:szCs w:val="18"/>
          <w:lang w:val="pt-PT"/>
        </w:rPr>
        <w:t xml:space="preserve"> Anexo III, Lista de verificação da avaliação dos riscos de salvaguarda</w:t>
      </w:r>
      <w:r>
        <w:rPr>
          <w:rFonts w:hint="default" w:ascii="Times New Roman" w:hAnsi="Times New Roman" w:cs="Times New Roman"/>
          <w:sz w:val="18"/>
          <w:szCs w:val="18"/>
          <w:lang w:val="pt-PT"/>
        </w:rPr>
        <w:t xml:space="preserve">). Todos os projetos aprovados serão avaliados quanto aos seus riscos potenciais para crianças e adultos vulneráveis e serão desenvolvidas estratégias de mitigação.  Os gerentes de projeto serão responsáveis por conduzir uma avaliação de risco de salvaguarda para cada um de seus projetos e garantir que a política seja implementada em todos os momentos.  </w:t>
      </w:r>
    </w:p>
    <w:p w14:paraId="419AC84C">
      <w:pPr>
        <w:ind w:left="0" w:right="135"/>
        <w:jc w:val="both"/>
        <w:rPr>
          <w:rFonts w:hint="default" w:ascii="Times New Roman" w:hAnsi="Times New Roman" w:cs="Times New Roman"/>
          <w:sz w:val="18"/>
          <w:szCs w:val="18"/>
          <w:lang w:val="pt-PT"/>
        </w:rPr>
      </w:pPr>
    </w:p>
    <w:p w14:paraId="419AC84D">
      <w:pPr>
        <w:ind w:left="0" w:right="135"/>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Após a conclusão da Lista de verificação de avaliação de </w:t>
      </w:r>
      <w:r>
        <w:rPr>
          <w:rFonts w:hint="default" w:ascii="Times New Roman" w:hAnsi="Times New Roman" w:eastAsia="Calibri" w:cs="Times New Roman"/>
          <w:b/>
          <w:sz w:val="18"/>
          <w:szCs w:val="18"/>
          <w:lang w:val="pt-PT"/>
        </w:rPr>
        <w:t>riscos de salvaguarda</w:t>
      </w:r>
      <w:r>
        <w:rPr>
          <w:rFonts w:hint="default" w:ascii="Times New Roman" w:hAnsi="Times New Roman" w:cs="Times New Roman"/>
          <w:sz w:val="18"/>
          <w:szCs w:val="18"/>
          <w:lang w:val="pt-PT"/>
        </w:rPr>
        <w:t xml:space="preserve"> (</w:t>
      </w:r>
      <w:r>
        <w:rPr>
          <w:rFonts w:hint="default" w:ascii="Times New Roman" w:hAnsi="Times New Roman" w:eastAsia="Calibri" w:cs="Times New Roman"/>
          <w:b/>
          <w:sz w:val="18"/>
          <w:szCs w:val="18"/>
          <w:lang w:val="pt-PT"/>
        </w:rPr>
        <w:t>Anexo III</w:t>
      </w:r>
      <w:r>
        <w:rPr>
          <w:rFonts w:hint="default" w:ascii="Times New Roman" w:hAnsi="Times New Roman" w:cs="Times New Roman"/>
          <w:sz w:val="18"/>
          <w:szCs w:val="18"/>
          <w:lang w:val="pt-PT"/>
        </w:rPr>
        <w:t xml:space="preserve">), o gestor do projeto/programa deve entrar em contacto com o Diretor do País ou Regional (como Pessoa Focal de Salvaguarda) para discutir riscos e pontuações e um nível de risco deve ser acordado para descrições de funções, consulte </w:t>
      </w:r>
      <w:r>
        <w:rPr>
          <w:rFonts w:hint="default" w:ascii="Times New Roman" w:hAnsi="Times New Roman" w:eastAsia="Calibri" w:cs="Times New Roman"/>
          <w:b/>
          <w:sz w:val="18"/>
          <w:szCs w:val="18"/>
          <w:lang w:val="pt-PT"/>
        </w:rPr>
        <w:t>Níveis de Risco de Salvaguarda do Consórcio de Malária (Anexo II).</w:t>
      </w:r>
      <w:r>
        <w:rPr>
          <w:rFonts w:hint="default" w:ascii="Times New Roman" w:hAnsi="Times New Roman" w:cs="Times New Roman"/>
          <w:sz w:val="18"/>
          <w:szCs w:val="18"/>
          <w:lang w:val="pt-PT"/>
        </w:rPr>
        <w:t xml:space="preserve"> Os Diretores de País ou Regionais são responsáveis por garantir que todas as descrições de funções refletem o nível de risco para cada função e as ações que devem ser tomadas para mitigar o risco são escritas, aprovadas e assinadas pelo Diretor de Programas Regionais e pelo Diretor de Recursos Humanos. A atribuição do nível de risco adequado de uma determinada descrição de funções será avaliada como parte do processo de avaliação de funções. </w:t>
      </w:r>
    </w:p>
    <w:p w14:paraId="419AC84E">
      <w:pPr>
        <w:pStyle w:val="4"/>
        <w:numPr>
          <w:ilvl w:val="0"/>
          <w:numId w:val="0"/>
        </w:numPr>
        <w:ind w:left="360" w:hanging="360"/>
        <w:jc w:val="both"/>
        <w:rPr>
          <w:rFonts w:hint="default" w:ascii="Times New Roman" w:hAnsi="Times New Roman" w:cs="Times New Roman"/>
          <w:sz w:val="18"/>
          <w:szCs w:val="18"/>
          <w:lang w:val="pt-PT"/>
        </w:rPr>
      </w:pPr>
    </w:p>
    <w:p w14:paraId="419AC84F">
      <w:pPr>
        <w:pStyle w:val="4"/>
        <w:numPr>
          <w:ilvl w:val="0"/>
          <w:numId w:val="0"/>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5.1.2 Recrutamento e Seleção </w:t>
      </w:r>
    </w:p>
    <w:p w14:paraId="1084063C">
      <w:pPr>
        <w:rPr>
          <w:rFonts w:hint="default"/>
          <w:lang w:val="pt-PT"/>
        </w:rPr>
      </w:pPr>
    </w:p>
    <w:p w14:paraId="419AC850">
      <w:pPr>
        <w:ind w:left="0" w:right="137"/>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 organização tem em vigor orientações que abrangem o processo de recrutamento de todo o pessoal, que podem ser consultadas na </w:t>
      </w:r>
      <w:r>
        <w:rPr>
          <w:rFonts w:hint="default" w:ascii="Times New Roman" w:hAnsi="Times New Roman" w:cs="Times New Roman"/>
          <w:color w:val="008080"/>
          <w:sz w:val="18"/>
          <w:szCs w:val="18"/>
          <w:lang w:val="pt-PT"/>
        </w:rPr>
        <w:t>Política e Procedimento de Recrutamento</w:t>
      </w:r>
      <w:r>
        <w:rPr>
          <w:rFonts w:hint="default" w:ascii="Times New Roman" w:hAnsi="Times New Roman" w:cs="Times New Roman"/>
          <w:sz w:val="18"/>
          <w:szCs w:val="18"/>
          <w:lang w:val="pt-PT"/>
        </w:rPr>
        <w:t xml:space="preserve">. As orientações em matéria de recrutamento serão revistas e atualizadas regularmente para garantir que refletem com exatidão as normas de «recrutamento seguro» e de seleção. </w:t>
      </w:r>
    </w:p>
    <w:p w14:paraId="419AC851">
      <w:pPr>
        <w:pStyle w:val="4"/>
        <w:numPr>
          <w:ilvl w:val="0"/>
          <w:numId w:val="0"/>
        </w:numPr>
        <w:ind w:left="360" w:hanging="360"/>
        <w:jc w:val="both"/>
        <w:rPr>
          <w:rFonts w:hint="default" w:ascii="Times New Roman" w:hAnsi="Times New Roman" w:cs="Times New Roman"/>
          <w:sz w:val="18"/>
          <w:szCs w:val="18"/>
          <w:lang w:val="pt-PT"/>
        </w:rPr>
      </w:pPr>
    </w:p>
    <w:p w14:paraId="419AC852">
      <w:pPr>
        <w:pStyle w:val="4"/>
        <w:numPr>
          <w:ilvl w:val="0"/>
          <w:numId w:val="0"/>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5.1.3 Controlos </w:t>
      </w:r>
    </w:p>
    <w:p w14:paraId="3C2EE017">
      <w:pPr>
        <w:rPr>
          <w:rFonts w:hint="default"/>
          <w:lang w:val="pt-PT"/>
        </w:rPr>
      </w:pPr>
    </w:p>
    <w:p w14:paraId="419AC853">
      <w:pPr>
        <w:ind w:left="0" w:right="135"/>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 política de recrutamento do Consórcio Malária exige que sejam recebidas pelo menos duas referências independentes, uma das quais deve ser o empregador mais recente. Todo o pessoal contratado pela organização terá de preencher uma autodeclaração relativa a condenações penais. Sempre que possível, a organização realiza controlos do Serviço de Proibição de Divulgação (DBS), ou controlos de segurança locais, caso existam, e a organização esteja legalmente autorizada a solicitar essas informações </w:t>
      </w:r>
    </w:p>
    <w:p w14:paraId="419AC854">
      <w:pPr>
        <w:spacing w:line="259" w:lineRule="auto"/>
        <w:ind w:left="994"/>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 </w:t>
      </w:r>
    </w:p>
    <w:p w14:paraId="419AC855">
      <w:pPr>
        <w:pStyle w:val="4"/>
        <w:numPr>
          <w:ilvl w:val="0"/>
          <w:numId w:val="0"/>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5.1.4 Indução e Formação </w:t>
      </w:r>
    </w:p>
    <w:p w14:paraId="69522C9F">
      <w:pPr>
        <w:rPr>
          <w:rFonts w:hint="default"/>
          <w:lang w:val="pt-PT"/>
        </w:rPr>
      </w:pPr>
    </w:p>
    <w:p w14:paraId="419AC856">
      <w:pPr>
        <w:ind w:left="0" w:right="134"/>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 organização inclui a Salvaguarda como parte da Indução e oferece treinamento para todos os funcionários (e aqueles associados ao trabalho da organização), a fim de garantir que eles estejam plenamente conscientes de suas responsabilidades de: proteger crianças e adultos vulneráveis, comportar-se adequadamente e relatar preocupações ou alegações sobre exploração e abuso. O Consórcio Malária realizará formação de atualização para todo o pessoal no âmbito da Política de </w:t>
      </w:r>
      <w:r>
        <w:rPr>
          <w:rFonts w:hint="default" w:ascii="Times New Roman" w:hAnsi="Times New Roman" w:cs="Times New Roman"/>
          <w:color w:val="009999"/>
          <w:sz w:val="18"/>
          <w:szCs w:val="18"/>
          <w:lang w:val="pt-PT"/>
        </w:rPr>
        <w:t>Salvaguarda</w:t>
      </w:r>
      <w:r>
        <w:rPr>
          <w:rFonts w:hint="default" w:ascii="Times New Roman" w:hAnsi="Times New Roman" w:cs="Times New Roman"/>
          <w:sz w:val="18"/>
          <w:szCs w:val="18"/>
          <w:lang w:val="pt-PT"/>
        </w:rPr>
        <w:t xml:space="preserve"> pelo menos de dois em dois anos. O Gestor do Projeto ou Programa será responsável pela apresentação da política às comunidades beneficiárias, tanto por escrito como oralmente. </w:t>
      </w:r>
    </w:p>
    <w:p w14:paraId="1CDE958F">
      <w:pPr>
        <w:ind w:left="0" w:right="134"/>
        <w:jc w:val="both"/>
        <w:rPr>
          <w:rFonts w:hint="default" w:ascii="Times New Roman" w:hAnsi="Times New Roman" w:cs="Times New Roman"/>
          <w:sz w:val="18"/>
          <w:szCs w:val="18"/>
          <w:lang w:val="pt-PT"/>
        </w:rPr>
      </w:pPr>
    </w:p>
    <w:p w14:paraId="419AC857">
      <w:pPr>
        <w:pStyle w:val="4"/>
        <w:numPr>
          <w:ilvl w:val="0"/>
          <w:numId w:val="0"/>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5.1.5 Informar as Comunidades e receber queixas </w:t>
      </w:r>
    </w:p>
    <w:p w14:paraId="2E7751F2">
      <w:pPr>
        <w:rPr>
          <w:rFonts w:hint="default"/>
          <w:lang w:val="pt-PT"/>
        </w:rPr>
      </w:pPr>
    </w:p>
    <w:p w14:paraId="419AC858">
      <w:pPr>
        <w:ind w:left="0" w:right="136"/>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Cada local ou projeto do escritório do Consórcio Malária deve informar as comunidades sobre a conduta a esperar dos funcionários e parceiros do Consórcio Malária. Devem ser feitas considerações sobre a forma como os membros da comunidade, incluindo as crianças, podem levantar preocupações sobre o comportamento inadequado por parte do pessoal. Tal poderá incluir caixas de comentários, anúncios regulares às comunidades em formato verbal ou escrito, garantindo que o </w:t>
      </w:r>
      <w:r>
        <w:rPr>
          <w:rFonts w:hint="default" w:ascii="Times New Roman" w:hAnsi="Times New Roman" w:eastAsia="Calibri" w:cs="Times New Roman"/>
          <w:b/>
          <w:sz w:val="18"/>
          <w:szCs w:val="18"/>
          <w:lang w:val="pt-PT"/>
        </w:rPr>
        <w:t>Guia de Comportamento de Proteção (Anexo IV)</w:t>
      </w:r>
      <w:r>
        <w:rPr>
          <w:rFonts w:hint="default" w:ascii="Times New Roman" w:hAnsi="Times New Roman" w:cs="Times New Roman"/>
          <w:sz w:val="18"/>
          <w:szCs w:val="18"/>
          <w:lang w:val="pt-PT"/>
        </w:rPr>
        <w:t xml:space="preserve"> seja traduzido para todas as línguas relevantes e esteja disponível num formato ilustrativo, com baixos níveis de literacia e/ou adaptado às crianças, sempre que possível.  </w:t>
      </w:r>
    </w:p>
    <w:p w14:paraId="419AC859">
      <w:pPr>
        <w:ind w:left="0" w:right="136"/>
        <w:jc w:val="both"/>
        <w:rPr>
          <w:rFonts w:hint="default" w:ascii="Times New Roman" w:hAnsi="Times New Roman" w:cs="Times New Roman"/>
          <w:sz w:val="18"/>
          <w:szCs w:val="18"/>
          <w:lang w:val="pt-PT"/>
        </w:rPr>
      </w:pPr>
    </w:p>
    <w:p w14:paraId="419AC85A">
      <w:pPr>
        <w:pStyle w:val="4"/>
        <w:numPr>
          <w:ilvl w:val="0"/>
          <w:numId w:val="0"/>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5.1.6 Regulamento das Comunicações – Utilização de Imagens e Informação sobre Crianças e Adultos Vulneráveis </w:t>
      </w:r>
    </w:p>
    <w:p w14:paraId="12D43C2C">
      <w:pPr>
        <w:rPr>
          <w:rFonts w:hint="default"/>
          <w:lang w:val="pt-PT"/>
        </w:rPr>
      </w:pPr>
    </w:p>
    <w:p w14:paraId="419AC85B">
      <w:pPr>
        <w:ind w:left="0" w:right="136"/>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 Consórcio para a Malária reconhece que as crianças e os adultos vulneráveis podem ser involuntariamente colocados em risco através de imagens, vídeos ou outra documentação e imagens. A fim de minimizar qualquer risco para as crianças, o Consórcio contra a Malária assegurará que as Diretrizes de </w:t>
      </w:r>
      <w:r>
        <w:rPr>
          <w:rFonts w:hint="default" w:ascii="Times New Roman" w:hAnsi="Times New Roman" w:cs="Times New Roman"/>
          <w:color w:val="007C71"/>
          <w:sz w:val="18"/>
          <w:szCs w:val="18"/>
          <w:lang w:val="pt-PT"/>
        </w:rPr>
        <w:t>Fotografia e Cinema da organização sejam</w:t>
      </w:r>
      <w:r>
        <w:rPr>
          <w:rFonts w:hint="default" w:ascii="Times New Roman" w:hAnsi="Times New Roman" w:cs="Times New Roman"/>
          <w:sz w:val="18"/>
          <w:szCs w:val="18"/>
          <w:lang w:val="pt-PT"/>
        </w:rPr>
        <w:t xml:space="preserve"> rigorosamente seguidas. Todos os gestores de projeto são responsáveis por rever a fotografia e o filme captados durante o seu projeto, antes de serem utilizados no domínio público, para qualquer potencial violação da Política de </w:t>
      </w:r>
      <w:r>
        <w:rPr>
          <w:rFonts w:hint="default" w:ascii="Times New Roman" w:hAnsi="Times New Roman" w:cs="Times New Roman"/>
          <w:color w:val="007C71"/>
          <w:sz w:val="18"/>
          <w:szCs w:val="18"/>
          <w:lang w:val="pt-PT"/>
        </w:rPr>
        <w:t>Salvaguarda</w:t>
      </w:r>
      <w:r>
        <w:rPr>
          <w:rFonts w:hint="default" w:ascii="Times New Roman" w:hAnsi="Times New Roman" w:cs="Times New Roman"/>
          <w:sz w:val="18"/>
          <w:szCs w:val="18"/>
          <w:lang w:val="pt-PT"/>
        </w:rPr>
        <w:t xml:space="preserve">. Em caso de dúvida sobre uma determinada imagem, todo o pessoal deve limpar quaisquer materiais que envolvam crianças com o Chefe de Relações Externas.  </w:t>
      </w:r>
    </w:p>
    <w:p w14:paraId="419AC85C">
      <w:pPr>
        <w:pStyle w:val="4"/>
        <w:numPr>
          <w:ilvl w:val="0"/>
          <w:numId w:val="0"/>
        </w:numPr>
        <w:ind w:left="360" w:hanging="360"/>
        <w:jc w:val="both"/>
        <w:rPr>
          <w:rFonts w:hint="default" w:ascii="Times New Roman" w:hAnsi="Times New Roman" w:cs="Times New Roman"/>
          <w:sz w:val="18"/>
          <w:szCs w:val="18"/>
          <w:lang w:val="pt-PT"/>
        </w:rPr>
      </w:pPr>
    </w:p>
    <w:p w14:paraId="419AC85D">
      <w:pPr>
        <w:pStyle w:val="4"/>
        <w:numPr>
          <w:ilvl w:val="0"/>
          <w:numId w:val="0"/>
        </w:numPr>
        <w:ind w:left="360" w:hanging="360"/>
        <w:jc w:val="both"/>
        <w:rPr>
          <w:rFonts w:hint="default" w:ascii="Times New Roman" w:hAnsi="Times New Roman" w:cs="Times New Roman"/>
          <w:b w:val="0"/>
          <w:sz w:val="18"/>
          <w:szCs w:val="18"/>
          <w:lang w:val="pt-PT"/>
        </w:rPr>
      </w:pPr>
      <w:r>
        <w:rPr>
          <w:rFonts w:hint="default" w:ascii="Times New Roman" w:hAnsi="Times New Roman" w:cs="Times New Roman"/>
          <w:b w:val="0"/>
          <w:sz w:val="18"/>
          <w:szCs w:val="18"/>
          <w:lang w:val="pt-PT"/>
        </w:rPr>
        <w:t xml:space="preserve">Redes sociais </w:t>
      </w:r>
    </w:p>
    <w:p w14:paraId="419AC85E">
      <w:pPr>
        <w:spacing w:after="388"/>
        <w:ind w:left="0" w:right="136"/>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 Consórcio contra a Malária reconhece que existem certos riscos específicos para as crianças e os adultos vulneráveis, que podem ser colocados pelo pessoal que utiliza fotografias de trabalho nas suas redes sociais pessoais. Por esta razão, nenhum membro do pessoal, voluntário, administrador, agência, empresa ou consultor empregado pelo Consórcio da Malária não publicará fotografias relacionadas com as atividades da organização, em sites pessoais de redes sociais como o Facebook, Twitter, Instagram, sem a autorização expressa da pessoa cuja fotografia foi tirada. Esta permissão deve ser capturada de acordo com as diretrizes do Consórcio de Malária sobre filmagem de crianças e adultos vulneráveis nas Diretrizes de </w:t>
      </w:r>
      <w:r>
        <w:rPr>
          <w:rFonts w:hint="default" w:ascii="Times New Roman" w:hAnsi="Times New Roman" w:cs="Times New Roman"/>
          <w:color w:val="007C71"/>
          <w:sz w:val="18"/>
          <w:szCs w:val="18"/>
          <w:lang w:val="pt-PT"/>
        </w:rPr>
        <w:t>Fotografia e Cinema</w:t>
      </w:r>
      <w:r>
        <w:rPr>
          <w:rFonts w:hint="default" w:ascii="Times New Roman" w:hAnsi="Times New Roman" w:cs="Times New Roman"/>
          <w:sz w:val="18"/>
          <w:szCs w:val="18"/>
          <w:lang w:val="pt-PT"/>
        </w:rPr>
        <w:t xml:space="preserve">. Qualquer fotografia ou filme tirado para fins promocionais ou reportagem de projeto deve ter o consentimento informado do(s) contribuidor(es), obtido e registado através do Formulário de Autorização para os Meios de </w:t>
      </w:r>
      <w:r>
        <w:rPr>
          <w:rFonts w:hint="default" w:ascii="Times New Roman" w:hAnsi="Times New Roman" w:cs="Times New Roman"/>
          <w:color w:val="007C71"/>
          <w:sz w:val="18"/>
          <w:szCs w:val="18"/>
          <w:lang w:val="pt-PT"/>
        </w:rPr>
        <w:t>Comunicação Social da organização</w:t>
      </w:r>
      <w:r>
        <w:rPr>
          <w:rFonts w:hint="default" w:ascii="Times New Roman" w:hAnsi="Times New Roman" w:cs="Times New Roman"/>
          <w:sz w:val="18"/>
          <w:szCs w:val="18"/>
          <w:lang w:val="pt-PT"/>
        </w:rPr>
        <w:t xml:space="preserve">. </w:t>
      </w:r>
    </w:p>
    <w:p w14:paraId="419AC85F">
      <w:pPr>
        <w:pStyle w:val="3"/>
        <w:numPr>
          <w:ilvl w:val="1"/>
          <w:numId w:val="18"/>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Competências </w:t>
      </w:r>
    </w:p>
    <w:p w14:paraId="419AC860">
      <w:pPr>
        <w:pStyle w:val="4"/>
        <w:numPr>
          <w:ilvl w:val="0"/>
          <w:numId w:val="0"/>
        </w:numPr>
        <w:ind w:left="360"/>
        <w:jc w:val="both"/>
        <w:rPr>
          <w:rFonts w:hint="default" w:ascii="Times New Roman" w:hAnsi="Times New Roman" w:cs="Times New Roman"/>
          <w:sz w:val="18"/>
          <w:szCs w:val="18"/>
          <w:lang w:val="pt-PT"/>
        </w:rPr>
      </w:pPr>
    </w:p>
    <w:p w14:paraId="419AC861">
      <w:pPr>
        <w:pStyle w:val="4"/>
        <w:numPr>
          <w:ilvl w:val="2"/>
          <w:numId w:val="18"/>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Pessoal e parceiros </w:t>
      </w:r>
    </w:p>
    <w:p w14:paraId="6F264D4D">
      <w:pPr>
        <w:numPr>
          <w:ilvl w:val="0"/>
          <w:numId w:val="0"/>
        </w:numPr>
        <w:ind w:leftChars="0"/>
        <w:rPr>
          <w:rFonts w:hint="default"/>
          <w:lang w:val="pt-PT"/>
        </w:rPr>
      </w:pPr>
    </w:p>
    <w:p w14:paraId="419AC862">
      <w:pPr>
        <w:spacing w:after="218"/>
        <w:ind w:left="0" w:right="134"/>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Parte da proteção de crianças e adultos vulneráveis é garantir que todos os funcionários e parceiros do Consórcio contra a Malária compreendam claramente o comportamento que se espera deles quando entram em contato com crianças e adultos vulneráveis. Espera-se que todo o pessoal e parceiros que trabalhem ou visitem os Programas do Consórcio para a Malária leiam e adiram ao </w:t>
      </w:r>
      <w:r>
        <w:rPr>
          <w:rFonts w:hint="default" w:ascii="Times New Roman" w:hAnsi="Times New Roman" w:eastAsia="Calibri" w:cs="Times New Roman"/>
          <w:b/>
          <w:sz w:val="18"/>
          <w:szCs w:val="18"/>
          <w:lang w:val="pt-PT"/>
        </w:rPr>
        <w:t xml:space="preserve">Guia de Comportamento de Salvaguarda </w:t>
      </w:r>
      <w:r>
        <w:rPr>
          <w:rFonts w:hint="default" w:ascii="Times New Roman" w:hAnsi="Times New Roman" w:cs="Times New Roman"/>
          <w:sz w:val="18"/>
          <w:szCs w:val="18"/>
          <w:lang w:val="pt-PT"/>
        </w:rPr>
        <w:t>do</w:t>
      </w:r>
      <w:r>
        <w:rPr>
          <w:rFonts w:hint="default" w:ascii="Times New Roman" w:hAnsi="Times New Roman" w:eastAsia="Calibri" w:cs="Times New Roman"/>
          <w:b/>
          <w:sz w:val="18"/>
          <w:szCs w:val="18"/>
          <w:lang w:val="pt-PT"/>
        </w:rPr>
        <w:t xml:space="preserve"> Apêndice IV</w:t>
      </w:r>
      <w:r>
        <w:rPr>
          <w:rFonts w:hint="default" w:ascii="Times New Roman" w:hAnsi="Times New Roman" w:cs="Times New Roman"/>
          <w:sz w:val="18"/>
          <w:szCs w:val="18"/>
          <w:lang w:val="pt-PT"/>
        </w:rPr>
        <w:t xml:space="preserve">. </w:t>
      </w:r>
    </w:p>
    <w:p w14:paraId="419AC863">
      <w:pPr>
        <w:spacing w:after="131"/>
        <w:ind w:left="0" w:right="3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Para além de aderirem ao </w:t>
      </w:r>
      <w:r>
        <w:rPr>
          <w:rFonts w:hint="default" w:ascii="Times New Roman" w:hAnsi="Times New Roman" w:cs="Times New Roman"/>
          <w:color w:val="007C71"/>
          <w:sz w:val="18"/>
          <w:szCs w:val="18"/>
          <w:lang w:val="pt-PT"/>
        </w:rPr>
        <w:t>Código de Conduta das organizações</w:t>
      </w:r>
      <w:r>
        <w:rPr>
          <w:rFonts w:hint="default" w:ascii="Times New Roman" w:hAnsi="Times New Roman" w:cs="Times New Roman"/>
          <w:sz w:val="18"/>
          <w:szCs w:val="18"/>
          <w:lang w:val="pt-PT"/>
        </w:rPr>
        <w:t xml:space="preserve">, espera-se que todos os funcionários e pessoas associadas ao trabalho do Consórcio contra a Malária trabalhem dentro das normas abaixo descritas. Estas Normas destinam-se a servir como um guia ilustrativo para os funcionários tomarem decisões éticas na sua vida profissional e, por vezes, na sua vida privada. Embora reconhecendo que as leis e costumes locais podem diferir de um país para outro, estas medidas baseiam-se em normas internacionais: </w:t>
      </w:r>
    </w:p>
    <w:p w14:paraId="419AC864">
      <w:pPr>
        <w:numPr>
          <w:ilvl w:val="0"/>
          <w:numId w:val="25"/>
        </w:numPr>
        <w:spacing w:after="50"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Tratar todas as crianças e adultos vulneráveis (e todos os beneficiários) de forma justa e com respeito pela integridade e estar cientes do poder que podem ter sobre os beneficiários em virtude do seu envolvimento com o Consórcio Malária. </w:t>
      </w:r>
    </w:p>
    <w:p w14:paraId="419AC865">
      <w:pPr>
        <w:numPr>
          <w:ilvl w:val="0"/>
          <w:numId w:val="25"/>
        </w:numPr>
        <w:spacing w:after="188"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Agir de forma a cuidar e proteger os direitos das crianças e dos adultos vulneráveis e garantir que os seus melhores interesses são primordiais. </w:t>
      </w:r>
    </w:p>
    <w:p w14:paraId="419AC866">
      <w:pPr>
        <w:numPr>
          <w:ilvl w:val="0"/>
          <w:numId w:val="25"/>
        </w:numPr>
        <w:spacing w:after="50"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Salvaguardar e fazer uso responsável das informações e recursos. Tal inclui o exercício da devida diligência em todas as questões de negócios oficiais e a não divulgação de informações confidenciais sobre os beneficiários. </w:t>
      </w:r>
    </w:p>
    <w:p w14:paraId="419AC867">
      <w:pPr>
        <w:numPr>
          <w:ilvl w:val="0"/>
          <w:numId w:val="25"/>
        </w:numPr>
        <w:spacing w:after="52"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Defender a integridade da organização, assegurando que a conduta pessoal e profissional é, e é considerada, do mais elevado nível. </w:t>
      </w:r>
    </w:p>
    <w:p w14:paraId="419AC868">
      <w:pPr>
        <w:numPr>
          <w:ilvl w:val="0"/>
          <w:numId w:val="25"/>
        </w:numPr>
        <w:spacing w:after="53"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Denuncie qualquer abuso por parte de um membro da equipe, consultor, voluntário, estagiário ou parceiro ao Diretor ou Recursos Humanos e outras autoridades apropriadas. </w:t>
      </w:r>
    </w:p>
    <w:p w14:paraId="419AC869">
      <w:pPr>
        <w:numPr>
          <w:ilvl w:val="0"/>
          <w:numId w:val="25"/>
        </w:numPr>
        <w:spacing w:after="53"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Certifique-se de que outro adulto adequado está presente quando trabalha na proximidade de crianças ou adultos vulneráveis. </w:t>
      </w:r>
    </w:p>
    <w:p w14:paraId="419AC86A">
      <w:pPr>
        <w:numPr>
          <w:ilvl w:val="0"/>
          <w:numId w:val="25"/>
        </w:numPr>
        <w:spacing w:after="53"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Nunca se envolva em quaisquer relações de exploração – sexuais, emocionais, financeiras ou relacionadas com o emprego – com um beneficiário. Isto independentemente da idade local de consentimento, ou seja, as leis locais ou nacionais do país. A não comunicação de tal relação também pode levar a medidas disciplinares. </w:t>
      </w:r>
    </w:p>
    <w:p w14:paraId="419AC86B">
      <w:pPr>
        <w:numPr>
          <w:ilvl w:val="0"/>
          <w:numId w:val="25"/>
        </w:numPr>
        <w:spacing w:after="27"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Abster-se de qualquer envolvimento em atividades criminosas ou antiéticas que violem os direitos humanos. </w:t>
      </w:r>
    </w:p>
    <w:p w14:paraId="419AC86C">
      <w:pPr>
        <w:numPr>
          <w:ilvl w:val="0"/>
          <w:numId w:val="25"/>
        </w:numPr>
        <w:spacing w:after="30"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Siga as orientações ao fotografar ou filmar uma criança ou adultos vulneráveis.  </w:t>
      </w:r>
    </w:p>
    <w:p w14:paraId="419AC86D">
      <w:pPr>
        <w:numPr>
          <w:ilvl w:val="0"/>
          <w:numId w:val="25"/>
        </w:numPr>
        <w:spacing w:after="342" w:line="269" w:lineRule="auto"/>
        <w:ind w:left="426" w:right="3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Nunca atalho procedimentos de recrutamento seguros </w:t>
      </w:r>
    </w:p>
    <w:p w14:paraId="419AC86E">
      <w:pPr>
        <w:pStyle w:val="4"/>
        <w:numPr>
          <w:ilvl w:val="0"/>
          <w:numId w:val="0"/>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5.2.2 Responsabilidades de gestão </w:t>
      </w:r>
    </w:p>
    <w:p w14:paraId="570867A6">
      <w:pPr>
        <w:rPr>
          <w:rFonts w:hint="default"/>
          <w:lang w:val="pt-PT"/>
        </w:rPr>
      </w:pPr>
    </w:p>
    <w:p w14:paraId="419AC86F">
      <w:pPr>
        <w:spacing w:after="388"/>
        <w:ind w:left="0" w:right="135"/>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Esta Política de Salvaguarda e os Anexos que a acompanham são aprovados pelo Conselho de Curadores do Consórcio contra a Malária. O Global Management Group (GMG) supervisiona a implementação da política a nível global. Os Diretores Regionais e os Diretores de País são responsáveis por assegurar que os programas regionais e nacionais estão a implementar plenamente a Política de Salvaguarda. </w:t>
      </w:r>
    </w:p>
    <w:p w14:paraId="419AC870">
      <w:pPr>
        <w:pStyle w:val="3"/>
        <w:numPr>
          <w:ilvl w:val="1"/>
          <w:numId w:val="18"/>
        </w:numPr>
        <w:ind w:left="360" w:leftChars="0" w:hanging="360" w:firstLineChars="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Relatórios </w:t>
      </w:r>
    </w:p>
    <w:p w14:paraId="259DA1C2">
      <w:pPr>
        <w:numPr>
          <w:ilvl w:val="0"/>
          <w:numId w:val="0"/>
        </w:numPr>
        <w:ind w:leftChars="0"/>
        <w:rPr>
          <w:rFonts w:hint="default"/>
          <w:lang w:val="pt-PT"/>
        </w:rPr>
      </w:pPr>
    </w:p>
    <w:p w14:paraId="419AC871">
      <w:pPr>
        <w:pStyle w:val="4"/>
        <w:numPr>
          <w:ilvl w:val="0"/>
          <w:numId w:val="0"/>
        </w:numPr>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5.3.1 Comunicação de incidentes </w:t>
      </w:r>
    </w:p>
    <w:p w14:paraId="2ABF7B33">
      <w:pPr>
        <w:rPr>
          <w:rFonts w:hint="default"/>
          <w:lang w:val="pt-PT"/>
        </w:rPr>
      </w:pPr>
    </w:p>
    <w:p w14:paraId="419AC872">
      <w:pPr>
        <w:ind w:left="0" w:right="135"/>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É obrigatório que qualquer alegação, crença ou suspeita de, abuso, negligência ou exploração de uma criança ou adulto vulnerável por um membro da equipe ou parceiro do Consórcio Malária seja imediatamente relatada ao Diretor de RH (ou, na sua ausência, ao Diretor Executivo). A denúncia pode ser feita através do Diretor de País, se for mais viável, e o chefe de linha de qualquer membro do pessoal acusado deve ser mantido informado.  </w:t>
      </w:r>
    </w:p>
    <w:p w14:paraId="419AC873">
      <w:pPr>
        <w:ind w:left="0" w:right="137"/>
        <w:jc w:val="both"/>
        <w:rPr>
          <w:rFonts w:hint="default" w:ascii="Times New Roman" w:hAnsi="Times New Roman" w:cs="Times New Roman"/>
          <w:sz w:val="18"/>
          <w:szCs w:val="18"/>
          <w:lang w:val="pt-PT"/>
        </w:rPr>
      </w:pPr>
    </w:p>
    <w:p w14:paraId="419AC874">
      <w:pPr>
        <w:ind w:left="0" w:right="137"/>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Se um beneficiário (incluindo uma criança ou um adulto vulnerável) ou o seu prestador de cuidados comunicar um incidente, devem ser levados a sério e ouvidos atentamente. Uma vez feita uma alegação, deve haver uma resposta imediata que os proteja de novos abusos ou vitimizações potenciais. Se for caso disso, a família/os cuidadores da vítima devem ser informados da alegação e das medidas propostas e, sempre que possível, devem ser consultados sobre o processo a seguir. Este processo será conduzido pelo Diretor Nacional ou Regional, em estreita ligação com o Diretor de Recursos Humanos. </w:t>
      </w:r>
    </w:p>
    <w:p w14:paraId="419AC875">
      <w:pPr>
        <w:ind w:left="0" w:right="134"/>
        <w:jc w:val="both"/>
        <w:rPr>
          <w:rFonts w:hint="default" w:ascii="Times New Roman" w:hAnsi="Times New Roman" w:cs="Times New Roman"/>
          <w:sz w:val="18"/>
          <w:szCs w:val="18"/>
          <w:lang w:val="pt-PT"/>
        </w:rPr>
      </w:pPr>
    </w:p>
    <w:p w14:paraId="419AC876">
      <w:pPr>
        <w:ind w:left="0" w:right="134"/>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O procedimento para comunicar preocupações pode ser consultado na secção 6 do presente documento. Os incidentes devem ser detalhados no </w:t>
      </w:r>
      <w:r>
        <w:rPr>
          <w:rFonts w:hint="default" w:ascii="Times New Roman" w:hAnsi="Times New Roman" w:eastAsia="Calibri" w:cs="Times New Roman"/>
          <w:b/>
          <w:sz w:val="18"/>
          <w:szCs w:val="18"/>
          <w:lang w:val="pt-PT"/>
        </w:rPr>
        <w:t>Formulário de Notificação de Incidentes para Crianças e Adultos Vulneráveis</w:t>
      </w:r>
      <w:r>
        <w:rPr>
          <w:rFonts w:hint="default" w:ascii="Times New Roman" w:hAnsi="Times New Roman" w:cs="Times New Roman"/>
          <w:sz w:val="18"/>
          <w:szCs w:val="18"/>
          <w:lang w:val="pt-PT"/>
        </w:rPr>
        <w:t xml:space="preserve"> (</w:t>
      </w:r>
      <w:r>
        <w:rPr>
          <w:rFonts w:hint="default" w:ascii="Times New Roman" w:hAnsi="Times New Roman" w:eastAsia="Calibri" w:cs="Times New Roman"/>
          <w:b/>
          <w:sz w:val="18"/>
          <w:szCs w:val="18"/>
          <w:lang w:val="pt-PT"/>
        </w:rPr>
        <w:t>Anexo V</w:t>
      </w:r>
      <w:r>
        <w:rPr>
          <w:rFonts w:hint="default" w:ascii="Times New Roman" w:hAnsi="Times New Roman" w:cs="Times New Roman"/>
          <w:sz w:val="18"/>
          <w:szCs w:val="18"/>
          <w:lang w:val="pt-PT"/>
        </w:rPr>
        <w:t xml:space="preserve">). Os beneficiários devem comunicar a sua preocupação a um representante da organização e este trabalhador seguirá o procedimento interno indicado na secção 6. </w:t>
      </w:r>
    </w:p>
    <w:p w14:paraId="419AC877">
      <w:pPr>
        <w:pStyle w:val="4"/>
        <w:numPr>
          <w:ilvl w:val="0"/>
          <w:numId w:val="0"/>
        </w:numPr>
        <w:ind w:left="360" w:hanging="360"/>
        <w:jc w:val="both"/>
        <w:rPr>
          <w:rFonts w:hint="default" w:ascii="Times New Roman" w:hAnsi="Times New Roman" w:cs="Times New Roman"/>
          <w:sz w:val="18"/>
          <w:szCs w:val="18"/>
          <w:lang w:val="pt-PT"/>
        </w:rPr>
      </w:pPr>
    </w:p>
    <w:p w14:paraId="419AC878">
      <w:pPr>
        <w:pStyle w:val="4"/>
        <w:numPr>
          <w:ilvl w:val="0"/>
          <w:numId w:val="0"/>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5.3.2 Confidencialidade da comunicação de informações </w:t>
      </w:r>
    </w:p>
    <w:p w14:paraId="364569F6">
      <w:pPr>
        <w:rPr>
          <w:rFonts w:hint="default"/>
          <w:lang w:val="pt-PT"/>
        </w:rPr>
      </w:pPr>
    </w:p>
    <w:p w14:paraId="419AC879">
      <w:pPr>
        <w:spacing w:after="366"/>
        <w:ind w:left="0" w:right="135"/>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As violações comunicadas à Política de Salvaguarda serão mantidas confidenciais e as informações partilhadas apenas com indivíduos relevantes. Para casos internos, é provável que as seguintes partes sejam informadas: o Diretor de RH, o Gerente de Auditoria Interna, o Diretor Executivo e o Conselho de Curadores. Os doadores serão informados onde houver um mandato para fazê-lo e, os curadores relatarão incidentes graves à Comissão de Caridade. O nome do membro da equipe denunciante será protegido pela Política de Denúncias do Consórcio de Malária, o nome da criança ou adulto vulnerável, sua família e comunidade envolvida será mantido estritamente confidencial e divulgado apenas quando absolutamente necessário, e então apenas para indivíduos relevantes.  </w:t>
      </w:r>
    </w:p>
    <w:p w14:paraId="419AC87A">
      <w:pPr>
        <w:pStyle w:val="4"/>
        <w:numPr>
          <w:ilvl w:val="0"/>
          <w:numId w:val="0"/>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5.3.3 Incidentes externos </w:t>
      </w:r>
    </w:p>
    <w:p w14:paraId="4963BC80">
      <w:pPr>
        <w:rPr>
          <w:rFonts w:hint="default"/>
          <w:lang w:val="pt-PT"/>
        </w:rPr>
      </w:pPr>
    </w:p>
    <w:p w14:paraId="419AC87B">
      <w:pPr>
        <w:spacing w:after="388"/>
        <w:ind w:left="0" w:right="134"/>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Pode haver casos em que o pessoal do Consórcio da Malária, voluntários e outros se deparem com incidentes de abuso ou exploração que podem ser cometidos por alguém não ligado ao Consórcio da Malária, por vezes dentro das comunidades beneficiárias e outras vezes na comunidade em geral. Tais incidentes não constituem uma violação da Política de Salvaguarda, uma vez que não foram perpetrados por um membro do pessoal do Consórcio Malária ou outra pessoa ou entidade associada ao Consórcio Malária. No entanto, como as crianças e os adultos vulneráveis são beneficiários nas comunidades em que o Consórcio contra a Malária trabalha, e a saúde e o bem-estar são uma preocupação primordial, os membros da equipe têm a obrigação moral de não ignorar casos externos, mas informar o Diretor do País. O Diretor Nacional será responsável pelo encaminhamento para uma agência externa ou prestador de serviços, conforme apropriado, e também notificará o Diretor de RH e o Diretor Executivo. Há também processos formais sob financiamento da USAID para que incidentes sejam relatados. </w:t>
      </w:r>
    </w:p>
    <w:p w14:paraId="419AC87C">
      <w:pPr>
        <w:pStyle w:val="3"/>
        <w:spacing w:after="195"/>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5.4 Infrações  </w:t>
      </w:r>
    </w:p>
    <w:p w14:paraId="419AC87D">
      <w:pPr>
        <w:spacing w:after="366"/>
        <w:ind w:left="0" w:right="3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Quaisquer violações relatadas da política de Salvaguarda serão finalmente comunicadas ao Chefe do Executivo, que informará o Conselho de Curadores.  </w:t>
      </w:r>
    </w:p>
    <w:p w14:paraId="419AC87E">
      <w:pPr>
        <w:pStyle w:val="4"/>
        <w:numPr>
          <w:ilvl w:val="0"/>
          <w:numId w:val="0"/>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5.4.1 Investigação </w:t>
      </w:r>
    </w:p>
    <w:p w14:paraId="57EFC42B">
      <w:pPr>
        <w:rPr>
          <w:rFonts w:hint="default"/>
          <w:lang w:val="pt-PT"/>
        </w:rPr>
      </w:pPr>
    </w:p>
    <w:p w14:paraId="419AC87F">
      <w:pPr>
        <w:ind w:left="0" w:right="3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Qualquer alegada violação da política de salvaguarda será investigada e tratada no âmbito da </w:t>
      </w:r>
      <w:r>
        <w:rPr>
          <w:rFonts w:hint="default" w:ascii="Times New Roman" w:hAnsi="Times New Roman" w:cs="Times New Roman"/>
          <w:color w:val="008080"/>
          <w:sz w:val="18"/>
          <w:szCs w:val="18"/>
          <w:lang w:val="pt-PT"/>
        </w:rPr>
        <w:t>Política e Procedimento Disciplinar do Consórcio para a Malária</w:t>
      </w:r>
      <w:r>
        <w:rPr>
          <w:rFonts w:hint="default" w:ascii="Times New Roman" w:hAnsi="Times New Roman" w:cs="Times New Roman"/>
          <w:sz w:val="18"/>
          <w:szCs w:val="18"/>
          <w:lang w:val="pt-PT"/>
        </w:rPr>
        <w:t xml:space="preserve">. As investigações serão diferentes dependendo do tipo e da gravidade do problema, mas, no mínimo, irão: </w:t>
      </w:r>
    </w:p>
    <w:p w14:paraId="419AC880">
      <w:pPr>
        <w:numPr>
          <w:ilvl w:val="0"/>
          <w:numId w:val="26"/>
        </w:numPr>
        <w:spacing w:after="53" w:line="269" w:lineRule="auto"/>
        <w:ind w:left="426" w:right="134"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Ter uma pessoa que receba e acompanhe as preocupações (o Diretor Nacional ou o Diretor de RH) e apoie a investigação. </w:t>
      </w:r>
    </w:p>
    <w:p w14:paraId="419AC881">
      <w:pPr>
        <w:numPr>
          <w:ilvl w:val="0"/>
          <w:numId w:val="26"/>
        </w:numPr>
        <w:spacing w:after="53" w:line="269" w:lineRule="auto"/>
        <w:ind w:left="426" w:right="134"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Assegurar que o Diretor Nacional ou Regional / Diretor de RH recebe o relatório no prazo de 24 horas após o incidente ocorrer ou ser levantado. </w:t>
      </w:r>
    </w:p>
    <w:p w14:paraId="419AC882">
      <w:pPr>
        <w:numPr>
          <w:ilvl w:val="0"/>
          <w:numId w:val="26"/>
        </w:numPr>
        <w:spacing w:after="188" w:line="269" w:lineRule="auto"/>
        <w:ind w:left="426" w:right="134"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Manter sempre a confidencialidade do alegado infrator, do denunciante, da criança ou adulto vulnerável, da sua família e comunidade (consulte a </w:t>
      </w:r>
      <w:r>
        <w:rPr>
          <w:rFonts w:hint="default" w:ascii="Times New Roman" w:hAnsi="Times New Roman" w:cs="Times New Roman"/>
          <w:color w:val="008080"/>
          <w:sz w:val="18"/>
          <w:szCs w:val="18"/>
          <w:lang w:val="pt-PT"/>
        </w:rPr>
        <w:t>Política de Denúncias do</w:t>
      </w:r>
      <w:r>
        <w:rPr>
          <w:rFonts w:hint="default" w:ascii="Times New Roman" w:hAnsi="Times New Roman" w:cs="Times New Roman"/>
          <w:sz w:val="18"/>
          <w:szCs w:val="18"/>
          <w:lang w:val="pt-PT"/>
        </w:rPr>
        <w:t xml:space="preserve"> Consórcio da Malária). </w:t>
      </w:r>
    </w:p>
    <w:p w14:paraId="419AC883">
      <w:pPr>
        <w:numPr>
          <w:ilvl w:val="0"/>
          <w:numId w:val="26"/>
        </w:numPr>
        <w:spacing w:after="364" w:line="269" w:lineRule="auto"/>
        <w:ind w:left="426" w:right="134"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Cooperar com as autoridades locais e internacionais, incluindo, mas não limitado a, polícia em qualquer investigação criminal, tendo em mente o melhor interesse da criança ou adulto vulnerável e sua família. </w:t>
      </w:r>
    </w:p>
    <w:p w14:paraId="419AC884">
      <w:pPr>
        <w:pStyle w:val="4"/>
        <w:numPr>
          <w:ilvl w:val="0"/>
          <w:numId w:val="0"/>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5.4.2 Medidas disciplinares </w:t>
      </w:r>
    </w:p>
    <w:p w14:paraId="60B540D5">
      <w:pPr>
        <w:rPr>
          <w:rFonts w:hint="default"/>
          <w:lang w:val="pt-PT"/>
        </w:rPr>
      </w:pPr>
    </w:p>
    <w:p w14:paraId="419AC885">
      <w:pPr>
        <w:spacing w:after="367"/>
        <w:ind w:left="0" w:right="134"/>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Sempre que uma investigação que envolva um membro do pessoal concluir que existe um caso a responder, o trabalhador será convidado para uma audição disciplinar em conformidade com a </w:t>
      </w:r>
      <w:r>
        <w:rPr>
          <w:rFonts w:hint="default" w:ascii="Times New Roman" w:hAnsi="Times New Roman" w:cs="Times New Roman"/>
          <w:color w:val="008080"/>
          <w:sz w:val="18"/>
          <w:szCs w:val="18"/>
          <w:lang w:val="pt-PT"/>
        </w:rPr>
        <w:t>Política e Procedimento Disciplinar</w:t>
      </w:r>
      <w:r>
        <w:rPr>
          <w:rFonts w:hint="default" w:ascii="Times New Roman" w:hAnsi="Times New Roman" w:cs="Times New Roman"/>
          <w:sz w:val="18"/>
          <w:szCs w:val="18"/>
          <w:lang w:val="pt-PT"/>
        </w:rPr>
        <w:t xml:space="preserve">. Se mantida, a sanção disciplinar variará com a gravidade da infração, e será sempre aplicada no melhor interesse da criança ou adulto vulnerável.  Se a audiência disciplinar constatar falta grave, o funcionário será imediatamente demitido. Para infrações menos graves, o Consórcio contra a Malária empregará várias respostas que vão desde advertência verbal, advertência escrita, treinamento de atualização e encaminhamento para aconselhamento, ou uma revisão das responsabilidades atuais do trabalho. </w:t>
      </w:r>
    </w:p>
    <w:p w14:paraId="419AC886">
      <w:pPr>
        <w:pStyle w:val="4"/>
        <w:numPr>
          <w:ilvl w:val="0"/>
          <w:numId w:val="0"/>
        </w:numPr>
        <w:ind w:left="360" w:hanging="360"/>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5.4.3 Procedimentos em caso de infrações penais </w:t>
      </w:r>
    </w:p>
    <w:p w14:paraId="70148ED6">
      <w:pPr>
        <w:rPr>
          <w:rFonts w:hint="default"/>
          <w:lang w:val="pt-PT"/>
        </w:rPr>
      </w:pPr>
    </w:p>
    <w:p w14:paraId="419AC887">
      <w:pPr>
        <w:ind w:left="0" w:right="136"/>
        <w:jc w:val="both"/>
        <w:rPr>
          <w:rFonts w:hint="default" w:ascii="Times New Roman" w:hAnsi="Times New Roman" w:cs="Times New Roman"/>
          <w:sz w:val="18"/>
          <w:szCs w:val="18"/>
          <w:lang w:val="pt-PT"/>
        </w:rPr>
      </w:pPr>
      <w:r>
        <w:rPr>
          <w:rFonts w:hint="default" w:ascii="Times New Roman" w:hAnsi="Times New Roman" w:cs="Times New Roman"/>
          <w:sz w:val="18"/>
          <w:szCs w:val="18"/>
          <w:lang w:val="pt-PT"/>
        </w:rPr>
        <w:t xml:space="preserve">Se se suspeitar que a violação é de natureza criminosa, as autoridades locais serão contactadas pelo Diretor do País, tendo em conta o que é do interesse superior da criança ou adulto vulnerável e a segurança da sua família e comunidade. O membro do pessoal ou parceiro será suspenso ou afastado do contacto com crianças ou adultos vulneráveis. Sempre que tal seja solicitado por um dador, este deve ser informado das infrações penais dentro do prazo especificado. </w:t>
      </w:r>
    </w:p>
    <w:p w14:paraId="419AC888">
      <w:pPr>
        <w:pStyle w:val="3"/>
        <w:spacing w:after="195"/>
        <w:jc w:val="left"/>
        <w:rPr>
          <w:rFonts w:hint="default" w:ascii="Times New Roman" w:hAnsi="Times New Roman" w:cs="Times New Roman"/>
          <w:lang w:val="pt-PT"/>
        </w:rPr>
      </w:pPr>
    </w:p>
    <w:p w14:paraId="419AC889">
      <w:pPr>
        <w:pStyle w:val="3"/>
        <w:spacing w:after="195"/>
        <w:jc w:val="left"/>
        <w:rPr>
          <w:rFonts w:hint="default" w:ascii="Times New Roman" w:hAnsi="Times New Roman" w:cs="Times New Roman"/>
          <w:lang w:val="pt-PT"/>
        </w:rPr>
      </w:pPr>
      <w:r>
        <w:rPr>
          <w:rFonts w:hint="default" w:ascii="Times New Roman" w:hAnsi="Times New Roman" w:cs="Times New Roman"/>
          <w:lang w:val="pt-PT"/>
        </w:rPr>
        <w:t xml:space="preserve">5.5 Acompanhamento e revisão </w:t>
      </w:r>
    </w:p>
    <w:p w14:paraId="419AC88A">
      <w:pPr>
        <w:ind w:left="0" w:right="134"/>
        <w:jc w:val="left"/>
        <w:rPr>
          <w:rFonts w:hint="default" w:ascii="Times New Roman" w:hAnsi="Times New Roman" w:cs="Times New Roman"/>
          <w:lang w:val="pt-PT"/>
        </w:rPr>
      </w:pPr>
      <w:r>
        <w:rPr>
          <w:rFonts w:hint="default" w:ascii="Times New Roman" w:hAnsi="Times New Roman" w:cs="Times New Roman"/>
          <w:lang w:val="pt-PT"/>
        </w:rPr>
        <w:t xml:space="preserve">A aplicação desta política e deste procedimento será revista anualmente a nível local. Se alterações políticas, de segurança ou de programa justificarem uma revisão mais frequente, esta é da responsabilidade do Diretor de País, com o apoio da sede. </w:t>
      </w:r>
    </w:p>
    <w:p w14:paraId="419AC88B">
      <w:pPr>
        <w:spacing w:after="285"/>
        <w:ind w:left="0" w:right="135"/>
        <w:jc w:val="left"/>
        <w:rPr>
          <w:rFonts w:hint="default" w:ascii="Times New Roman" w:hAnsi="Times New Roman" w:cs="Times New Roman"/>
          <w:lang w:val="pt-PT"/>
        </w:rPr>
      </w:pPr>
    </w:p>
    <w:p w14:paraId="419AC88C">
      <w:pPr>
        <w:spacing w:after="285"/>
        <w:ind w:left="0" w:right="135"/>
        <w:jc w:val="left"/>
        <w:rPr>
          <w:rFonts w:hint="default" w:ascii="Times New Roman" w:hAnsi="Times New Roman" w:cs="Times New Roman"/>
          <w:lang w:val="pt-PT"/>
        </w:rPr>
      </w:pPr>
      <w:r>
        <w:rPr>
          <w:rFonts w:hint="default" w:ascii="Times New Roman" w:hAnsi="Times New Roman" w:cs="Times New Roman"/>
          <w:lang w:val="pt-PT"/>
        </w:rPr>
        <w:t xml:space="preserve">A execução será acompanhada através de visitas regulares aos projetos no terreno. A monitorização dos riscos para as crianças e os adultos vulneráveis, a mitigação dos riscos e a eficácia das medidas de salvaguarda serão incorporadas no Registo Trimestral de Risco do País do Consórcio para a Malária. Esta política de salvaguarda será revista de dois em dois anos, a menos que alterações no programa, na situação política ou de segurança justifiquem uma ação mais rápida.  </w:t>
      </w:r>
    </w:p>
    <w:p w14:paraId="419AC88D">
      <w:pPr>
        <w:pStyle w:val="3"/>
        <w:spacing w:after="125" w:line="249" w:lineRule="auto"/>
        <w:jc w:val="left"/>
        <w:rPr>
          <w:rFonts w:hint="default" w:ascii="Times New Roman" w:hAnsi="Times New Roman" w:cs="Times New Roman"/>
          <w:b/>
          <w:sz w:val="14"/>
          <w:lang w:val="pt-PT"/>
        </w:rPr>
      </w:pPr>
      <w:r>
        <w:rPr>
          <w:rFonts w:hint="default" w:ascii="Times New Roman" w:hAnsi="Times New Roman" w:cs="Times New Roman"/>
          <w:b/>
          <w:sz w:val="22"/>
          <w:lang w:val="pt-PT"/>
        </w:rPr>
        <w:t xml:space="preserve">Apêndice I: Salvaguarda das definições </w:t>
      </w:r>
    </w:p>
    <w:p w14:paraId="419AC88E">
      <w:pPr>
        <w:ind w:left="0" w:right="30"/>
        <w:jc w:val="left"/>
        <w:rPr>
          <w:rFonts w:hint="default" w:ascii="Times New Roman" w:hAnsi="Times New Roman" w:cs="Times New Roman"/>
          <w:lang w:val="pt-PT"/>
        </w:rPr>
      </w:pPr>
      <w:r>
        <w:rPr>
          <w:rFonts w:hint="default" w:ascii="Times New Roman" w:hAnsi="Times New Roman" w:cs="Times New Roman"/>
          <w:lang w:val="pt-PT"/>
        </w:rPr>
        <w:t xml:space="preserve">As definições a seguir explicam os termos usados em toda a política. </w:t>
      </w:r>
    </w:p>
    <w:p w14:paraId="419AC88F">
      <w:pPr>
        <w:spacing w:after="220"/>
        <w:ind w:left="0" w:right="30"/>
        <w:jc w:val="left"/>
        <w:rPr>
          <w:rFonts w:hint="default" w:ascii="Times New Roman" w:hAnsi="Times New Roman" w:eastAsia="Calibri" w:cs="Times New Roman"/>
          <w:b/>
          <w:lang w:val="pt-PT"/>
        </w:rPr>
      </w:pPr>
    </w:p>
    <w:p w14:paraId="419AC890">
      <w:pPr>
        <w:spacing w:after="220"/>
        <w:ind w:left="0" w:right="30"/>
        <w:jc w:val="left"/>
        <w:rPr>
          <w:rFonts w:hint="default" w:ascii="Times New Roman" w:hAnsi="Times New Roman" w:cs="Times New Roman"/>
          <w:lang w:val="pt-PT"/>
        </w:rPr>
      </w:pPr>
      <w:r>
        <w:rPr>
          <w:rFonts w:hint="default" w:ascii="Times New Roman" w:hAnsi="Times New Roman" w:eastAsia="Calibri" w:cs="Times New Roman"/>
          <w:b/>
          <w:lang w:val="pt-PT"/>
        </w:rPr>
        <w:t xml:space="preserve">Trabalho infantil: </w:t>
      </w:r>
      <w:r>
        <w:rPr>
          <w:rFonts w:hint="default" w:ascii="Times New Roman" w:hAnsi="Times New Roman" w:cs="Times New Roman"/>
          <w:lang w:val="pt-PT"/>
        </w:rPr>
        <w:t xml:space="preserve">O termo "trabalho infantil" é frequentemente definido como um trabalho que priva as crianças da sua infância, do seu potencial e da sua dignidade, e que é prejudicial para o desenvolvimento físico e mental.  Refere-se a um trabalho que: </w:t>
      </w:r>
    </w:p>
    <w:p w14:paraId="419AC891">
      <w:pPr>
        <w:numPr>
          <w:ilvl w:val="0"/>
          <w:numId w:val="27"/>
        </w:numPr>
        <w:spacing w:after="259" w:line="269" w:lineRule="auto"/>
        <w:ind w:right="30" w:hanging="360"/>
        <w:jc w:val="left"/>
        <w:rPr>
          <w:rFonts w:hint="default" w:ascii="Times New Roman" w:hAnsi="Times New Roman" w:cs="Times New Roman"/>
          <w:lang w:val="pt-PT"/>
        </w:rPr>
      </w:pPr>
      <w:r>
        <w:rPr>
          <w:rFonts w:hint="default" w:ascii="Times New Roman" w:hAnsi="Times New Roman" w:cs="Times New Roman"/>
          <w:lang w:val="pt-PT"/>
        </w:rPr>
        <w:t xml:space="preserve">É mental, física, social ou moralmente perigosa e prejudicial para as crianças; e ainda </w:t>
      </w:r>
    </w:p>
    <w:p w14:paraId="419AC892">
      <w:pPr>
        <w:numPr>
          <w:ilvl w:val="0"/>
          <w:numId w:val="27"/>
        </w:numPr>
        <w:spacing w:after="217" w:line="269" w:lineRule="auto"/>
        <w:ind w:right="30" w:hanging="360"/>
        <w:jc w:val="left"/>
        <w:rPr>
          <w:rFonts w:hint="default" w:ascii="Times New Roman" w:hAnsi="Times New Roman" w:cs="Times New Roman"/>
          <w:lang w:val="pt-PT"/>
        </w:rPr>
      </w:pPr>
      <w:r>
        <w:rPr>
          <w:rFonts w:hint="default" w:ascii="Times New Roman" w:hAnsi="Times New Roman" w:cs="Times New Roman"/>
          <w:lang w:val="pt-PT"/>
        </w:rPr>
        <w:t xml:space="preserve">Interfere com a sua escolaridade ao: </w:t>
      </w:r>
    </w:p>
    <w:p w14:paraId="419AC893">
      <w:pPr>
        <w:numPr>
          <w:ilvl w:val="1"/>
          <w:numId w:val="27"/>
        </w:numPr>
        <w:spacing w:after="188" w:line="269" w:lineRule="auto"/>
        <w:ind w:right="30" w:hanging="360"/>
        <w:jc w:val="left"/>
        <w:rPr>
          <w:rFonts w:hint="default" w:ascii="Times New Roman" w:hAnsi="Times New Roman" w:cs="Times New Roman"/>
          <w:lang w:val="pt-PT"/>
        </w:rPr>
      </w:pPr>
      <w:r>
        <w:rPr>
          <w:rFonts w:hint="default" w:ascii="Times New Roman" w:hAnsi="Times New Roman" w:cs="Times New Roman"/>
          <w:lang w:val="pt-PT"/>
        </w:rPr>
        <w:t xml:space="preserve">Privá-los da oportunidade de frequentar a escola; </w:t>
      </w:r>
    </w:p>
    <w:p w14:paraId="419AC894">
      <w:pPr>
        <w:numPr>
          <w:ilvl w:val="1"/>
          <w:numId w:val="27"/>
        </w:numPr>
        <w:spacing w:after="188" w:line="269" w:lineRule="auto"/>
        <w:ind w:right="30" w:hanging="360"/>
        <w:jc w:val="left"/>
        <w:rPr>
          <w:rFonts w:hint="default" w:ascii="Times New Roman" w:hAnsi="Times New Roman" w:cs="Times New Roman"/>
          <w:lang w:val="pt-PT"/>
        </w:rPr>
      </w:pPr>
      <w:r>
        <w:rPr>
          <w:rFonts w:hint="default" w:ascii="Times New Roman" w:hAnsi="Times New Roman" w:cs="Times New Roman"/>
          <w:lang w:val="pt-PT"/>
        </w:rPr>
        <w:t xml:space="preserve">Obrigando-os a abandonar prematuramente a escola; quer </w:t>
      </w:r>
    </w:p>
    <w:p w14:paraId="419AC895">
      <w:pPr>
        <w:numPr>
          <w:ilvl w:val="1"/>
          <w:numId w:val="27"/>
        </w:numPr>
        <w:spacing w:after="147" w:line="269" w:lineRule="auto"/>
        <w:ind w:right="30" w:hanging="360"/>
        <w:jc w:val="left"/>
        <w:rPr>
          <w:rFonts w:hint="default" w:ascii="Times New Roman" w:hAnsi="Times New Roman" w:cs="Times New Roman"/>
          <w:lang w:val="pt-PT"/>
        </w:rPr>
      </w:pPr>
      <w:r>
        <w:rPr>
          <w:rFonts w:hint="default" w:ascii="Times New Roman" w:hAnsi="Times New Roman" w:cs="Times New Roman"/>
          <w:lang w:val="pt-PT"/>
        </w:rPr>
        <w:t xml:space="preserve">Obrigando-os a tentar combinar a frequência escolar com um trabalho excessivamente longo e pesado. </w:t>
      </w:r>
    </w:p>
    <w:p w14:paraId="419AC896">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 xml:space="preserve">Pornografia infantil: De </w:t>
      </w:r>
      <w:r>
        <w:rPr>
          <w:rFonts w:hint="default" w:ascii="Times New Roman" w:hAnsi="Times New Roman" w:cs="Times New Roman"/>
          <w:lang w:val="pt-PT"/>
        </w:rPr>
        <w:t xml:space="preserve">acordo com o Protocolo Facultativo à Convenção sobre os Direitos da Criança da CNUDC, entende-se por «pornografia infantil» «qualquer representação, por qualquer meio material, de uma criança envolvida em atividades sexuais explícitas, reais ou simuladas, ou qualquer representação das partes sexuais de uma criança para fins principalmente sexuais».  </w:t>
      </w:r>
    </w:p>
    <w:p w14:paraId="1541A20C">
      <w:pPr>
        <w:ind w:left="0" w:right="30"/>
        <w:jc w:val="both"/>
        <w:rPr>
          <w:rFonts w:hint="default" w:ascii="Times New Roman" w:hAnsi="Times New Roman" w:cs="Times New Roman"/>
          <w:lang w:val="pt-PT"/>
        </w:rPr>
      </w:pPr>
    </w:p>
    <w:p w14:paraId="419AC897">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Proteção da Criança:</w:t>
      </w:r>
      <w:r>
        <w:rPr>
          <w:rFonts w:hint="default" w:ascii="Times New Roman" w:hAnsi="Times New Roman" w:cs="Times New Roman"/>
          <w:lang w:val="pt-PT"/>
        </w:rPr>
        <w:t xml:space="preserve"> No seu sentido mais lato, a proteção da criança é um termo utilizado para descrever as ações que indivíduos, organizações, países e comunidades tomam para proteger as crianças de atos de maus-tratos (abuso) e exploração "prejudiciais", por exemplo, violência doméstica, exploração do trabalho infantil, exploração e abuso comercial e sexual, exposição deliberada ao VIH ou outras infeções e violência física. Também pode ser usado como um termo amplo para descrever o trabalho que as organizações realizam em determinadas comunidades, ambientes ou programas que protegem as crianças do risco de danos devido à situação em que vivem.  </w:t>
      </w:r>
    </w:p>
    <w:p w14:paraId="0F8781D9">
      <w:pPr>
        <w:ind w:left="0" w:right="30"/>
        <w:jc w:val="both"/>
        <w:rPr>
          <w:rFonts w:hint="default" w:ascii="Times New Roman" w:hAnsi="Times New Roman" w:cs="Times New Roman"/>
          <w:lang w:val="pt-PT"/>
        </w:rPr>
      </w:pPr>
    </w:p>
    <w:p w14:paraId="419AC898">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 xml:space="preserve">Discriminação: </w:t>
      </w:r>
      <w:r>
        <w:rPr>
          <w:rFonts w:hint="default" w:ascii="Times New Roman" w:hAnsi="Times New Roman" w:cs="Times New Roman"/>
          <w:lang w:val="pt-PT"/>
        </w:rPr>
        <w:t xml:space="preserve">A discriminação inclui a exclusão, maus-tratos ou ações contra um indivíduo com base no grupo social, raça, etnia, cor, religião, sexo, orientação sexual, idade, estado civil, origem nacional, filiação política ou deficiência.   </w:t>
      </w:r>
    </w:p>
    <w:p w14:paraId="268C769D">
      <w:pPr>
        <w:ind w:left="0" w:right="30"/>
        <w:jc w:val="both"/>
        <w:rPr>
          <w:rFonts w:hint="default" w:ascii="Times New Roman" w:hAnsi="Times New Roman" w:cs="Times New Roman"/>
          <w:lang w:val="pt-PT"/>
        </w:rPr>
      </w:pPr>
    </w:p>
    <w:p w14:paraId="419AC899">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 xml:space="preserve">Dever de cuidado: </w:t>
      </w:r>
      <w:r>
        <w:rPr>
          <w:rFonts w:hint="default" w:ascii="Times New Roman" w:hAnsi="Times New Roman" w:cs="Times New Roman"/>
          <w:lang w:val="pt-PT"/>
        </w:rPr>
        <w:t xml:space="preserve">O dever de cuidado é um conceito de direito comum que se refere à responsabilidade da organização e do indivíduo de fornecer às crianças um nível adequado de proteção contra danos. É dever da organização e dos seus indivíduos proteger as crianças de qualquer risco razoavelmente previsível ou lesão real. </w:t>
      </w:r>
    </w:p>
    <w:p w14:paraId="154EDD75">
      <w:pPr>
        <w:ind w:left="0" w:right="30"/>
        <w:jc w:val="both"/>
        <w:rPr>
          <w:rFonts w:hint="default" w:ascii="Times New Roman" w:hAnsi="Times New Roman" w:cs="Times New Roman"/>
          <w:lang w:val="pt-PT"/>
        </w:rPr>
      </w:pPr>
    </w:p>
    <w:p w14:paraId="419AC89A">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 xml:space="preserve">Abuso emocional: </w:t>
      </w:r>
      <w:r>
        <w:rPr>
          <w:rFonts w:hint="default" w:ascii="Times New Roman" w:hAnsi="Times New Roman" w:cs="Times New Roman"/>
          <w:lang w:val="pt-PT"/>
        </w:rPr>
        <w:t xml:space="preserve">O abuso emocional ocorre quando uma criança ou pessoa vulnerável é repetidamente rejeitada ou assustada por ameaças. Isso pode envolver xingamentos ruins, vergonha persistente, críticas constantes, confinamento solitário e isolamento, humilhação ou frieza contínua dos pais ou cuidadores, na medida em que afeta o crescimento físico e emocional da criança. </w:t>
      </w:r>
    </w:p>
    <w:p w14:paraId="0FFF051C">
      <w:pPr>
        <w:ind w:left="0" w:right="30"/>
        <w:jc w:val="both"/>
        <w:rPr>
          <w:rFonts w:hint="default" w:ascii="Times New Roman" w:hAnsi="Times New Roman" w:cs="Times New Roman"/>
          <w:lang w:val="pt-PT"/>
        </w:rPr>
      </w:pPr>
    </w:p>
    <w:p w14:paraId="37C633AB">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 xml:space="preserve">Violência baseada no género: </w:t>
      </w:r>
      <w:r>
        <w:rPr>
          <w:rFonts w:hint="default" w:ascii="Times New Roman" w:hAnsi="Times New Roman" w:cs="Times New Roman"/>
          <w:lang w:val="pt-PT"/>
        </w:rPr>
        <w:t xml:space="preserve">O termo "violência baseada no género" refere-se à violência que visa indivíduos ou grupos com base no seu género. O Comité para </w:t>
      </w:r>
      <w:r>
        <w:rPr>
          <w:rFonts w:hint="default" w:ascii="Times New Roman" w:hAnsi="Times New Roman" w:cs="Times New Roman"/>
        </w:rPr>
        <w:fldChar w:fldCharType="begin"/>
      </w:r>
      <w:r>
        <w:rPr>
          <w:rFonts w:hint="default" w:ascii="Times New Roman" w:hAnsi="Times New Roman" w:cs="Times New Roman"/>
          <w:lang w:val="pt-PT"/>
        </w:rPr>
        <w:instrText xml:space="preserve">HYPERLINK "http://www.un.org/womenwatch/daw/cedaw/committ.htm" \h</w:instrText>
      </w:r>
      <w:r>
        <w:rPr>
          <w:rFonts w:hint="default" w:ascii="Times New Roman" w:hAnsi="Times New Roman" w:cs="Times New Roman"/>
        </w:rPr>
        <w:fldChar w:fldCharType="separate"/>
      </w:r>
      <w:r>
        <w:rPr>
          <w:rFonts w:hint="default" w:ascii="Times New Roman" w:hAnsi="Times New Roman" w:cs="Times New Roman"/>
          <w:lang w:val="pt-PT"/>
        </w:rPr>
        <w:t xml:space="preserve">a Eliminação da Discriminação contra as Mulheres (CEDAW) do Alto Comissariado das Nações Unidas para os Direitos Humanos </w:t>
      </w:r>
      <w:r>
        <w:rPr>
          <w:rFonts w:hint="default" w:ascii="Times New Roman" w:hAnsi="Times New Roman" w:cs="Times New Roman"/>
        </w:rPr>
        <w:fldChar w:fldCharType="end"/>
      </w:r>
      <w:r>
        <w:rPr>
          <w:rFonts w:hint="default" w:ascii="Times New Roman" w:hAnsi="Times New Roman" w:cs="Times New Roman"/>
        </w:rPr>
        <w:fldChar w:fldCharType="begin"/>
      </w:r>
      <w:r>
        <w:rPr>
          <w:rFonts w:hint="default" w:ascii="Times New Roman" w:hAnsi="Times New Roman" w:cs="Times New Roman"/>
          <w:lang w:val="pt-PT"/>
        </w:rPr>
        <w:instrText xml:space="preserve">HYPERLINK "http://www.un.org/womenwatch/daw/cedaw/committ.htm" \h</w:instrText>
      </w:r>
      <w:r>
        <w:rPr>
          <w:rFonts w:hint="default" w:ascii="Times New Roman" w:hAnsi="Times New Roman" w:cs="Times New Roman"/>
        </w:rPr>
        <w:fldChar w:fldCharType="separate"/>
      </w:r>
      <w:r>
        <w:rPr>
          <w:rFonts w:hint="default" w:ascii="Times New Roman" w:hAnsi="Times New Roman" w:cs="Times New Roman"/>
          <w:lang w:val="pt-PT"/>
        </w:rPr>
        <w:t xml:space="preserve"> </w:t>
      </w:r>
      <w:r>
        <w:rPr>
          <w:rFonts w:hint="default" w:ascii="Times New Roman" w:hAnsi="Times New Roman" w:cs="Times New Roman"/>
        </w:rPr>
        <w:fldChar w:fldCharType="end"/>
      </w:r>
      <w:r>
        <w:rPr>
          <w:rFonts w:hint="default" w:ascii="Times New Roman" w:hAnsi="Times New Roman" w:cs="Times New Roman"/>
          <w:lang w:val="pt-PT"/>
        </w:rPr>
        <w:t xml:space="preserve">define-a como "violência dirigida contra uma mulher por ser mulher ou que afeta as mulheres de forma desproporcionada", na sua </w:t>
      </w:r>
      <w:r>
        <w:rPr>
          <w:rFonts w:hint="default" w:ascii="Times New Roman" w:hAnsi="Times New Roman" w:cs="Times New Roman"/>
        </w:rPr>
        <w:fldChar w:fldCharType="begin"/>
      </w:r>
      <w:r>
        <w:rPr>
          <w:rFonts w:hint="default" w:ascii="Times New Roman" w:hAnsi="Times New Roman" w:cs="Times New Roman"/>
          <w:lang w:val="pt-PT"/>
        </w:rPr>
        <w:instrText xml:space="preserve">HYPERLINK "http://www.un.org/womenwatch/daw/cedaw/recomm.htm" \h</w:instrText>
      </w:r>
      <w:r>
        <w:rPr>
          <w:rFonts w:hint="default" w:ascii="Times New Roman" w:hAnsi="Times New Roman" w:cs="Times New Roman"/>
        </w:rPr>
        <w:fldChar w:fldCharType="separate"/>
      </w:r>
      <w:r>
        <w:rPr>
          <w:rFonts w:hint="default" w:ascii="Times New Roman" w:hAnsi="Times New Roman" w:cs="Times New Roman"/>
          <w:lang w:val="pt-PT"/>
        </w:rPr>
        <w:t>Recomendação Geral 19.</w:t>
      </w:r>
      <w:r>
        <w:rPr>
          <w:rFonts w:hint="default" w:ascii="Times New Roman" w:hAnsi="Times New Roman" w:cs="Times New Roman"/>
        </w:rPr>
        <w:fldChar w:fldCharType="end"/>
      </w:r>
      <w:r>
        <w:rPr>
          <w:rFonts w:hint="default" w:ascii="Times New Roman" w:hAnsi="Times New Roman" w:cs="Times New Roman"/>
          <w:lang w:val="pt-PT"/>
        </w:rPr>
        <w:t xml:space="preserve"> Isto não significa que todos os atos de violência contra uma mulher ou uma criança do sexo feminino sejam violência baseada no género, ou que todas as vítimas de violência baseada no género sejam mulheres.</w:t>
      </w:r>
    </w:p>
    <w:p w14:paraId="419AC89B">
      <w:pPr>
        <w:ind w:left="0" w:right="30"/>
        <w:jc w:val="both"/>
        <w:rPr>
          <w:rFonts w:hint="default" w:ascii="Times New Roman" w:hAnsi="Times New Roman" w:cs="Times New Roman"/>
          <w:lang w:val="pt-PT"/>
        </w:rPr>
      </w:pPr>
      <w:r>
        <w:rPr>
          <w:rFonts w:hint="default" w:ascii="Times New Roman" w:hAnsi="Times New Roman" w:cs="Times New Roman"/>
          <w:lang w:val="pt-PT"/>
        </w:rPr>
        <w:t xml:space="preserve">  </w:t>
      </w:r>
    </w:p>
    <w:p w14:paraId="419AC89C">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Aliciamento</w:t>
      </w:r>
      <w:r>
        <w:rPr>
          <w:rFonts w:hint="default" w:ascii="Times New Roman" w:hAnsi="Times New Roman" w:cs="Times New Roman"/>
          <w:lang w:val="pt-PT"/>
        </w:rPr>
        <w:t xml:space="preserve">: refere-se a um comportamento que torna mais fácil para um agressor procurar uma criança para atividade sexual. Por exemplo, um agressor pode construir uma relação de confiança com a criança, a sua família ou a sua comunidade e, em seguida, procurar sexualizar essa relação (por exemplo, encorajando sentimentos românticos ou expondo a criança a conceitos sexuais através da pornografia). O aliciamento muitas vezes envolve normalizar seu comportamento para todos, não apenas para a criança, e também pode envolver a doação de presentes, favores ou dinheiro para a criança, sua família e/ou a comunidade. </w:t>
      </w:r>
    </w:p>
    <w:p w14:paraId="7F3AF092">
      <w:pPr>
        <w:ind w:left="0" w:right="30"/>
        <w:jc w:val="both"/>
        <w:rPr>
          <w:rFonts w:hint="default" w:ascii="Times New Roman" w:hAnsi="Times New Roman" w:cs="Times New Roman"/>
          <w:lang w:val="pt-PT"/>
        </w:rPr>
      </w:pPr>
    </w:p>
    <w:p w14:paraId="419AC89D">
      <w:pPr>
        <w:ind w:left="0" w:right="30"/>
        <w:jc w:val="both"/>
        <w:rPr>
          <w:rFonts w:hint="default" w:ascii="Times New Roman" w:hAnsi="Times New Roman" w:cs="Times New Roman"/>
          <w:lang w:val="pt-PT"/>
        </w:rPr>
      </w:pPr>
      <w:r>
        <w:rPr>
          <w:rFonts w:hint="default" w:ascii="Times New Roman" w:hAnsi="Times New Roman" w:eastAsia="Calibri" w:cs="Times New Roman"/>
          <w:b/>
          <w:bCs/>
          <w:lang w:val="pt-PT"/>
        </w:rPr>
        <w:t>Preocupações internas:</w:t>
      </w:r>
      <w:r>
        <w:rPr>
          <w:rFonts w:hint="default" w:ascii="Times New Roman" w:hAnsi="Times New Roman" w:cs="Times New Roman"/>
          <w:lang w:val="pt-PT"/>
        </w:rPr>
        <w:t xml:space="preserve"> são aquelas em que as pessoas abrangidas pela apólice são os presumíveis autores. As preocupações externas são abusos que normalmente seriam considerados criminosos de acordo com a legislação local e perpetrados por pessoas não descritas no âmbito desta política. Em situações em que a legislação local pode ser mais fraca do que esta política e o </w:t>
      </w:r>
      <w:r>
        <w:rPr>
          <w:rFonts w:hint="default" w:ascii="Times New Roman" w:hAnsi="Times New Roman" w:eastAsia="Calibri" w:cs="Times New Roman"/>
          <w:b/>
          <w:bCs/>
          <w:lang w:val="pt-PT"/>
        </w:rPr>
        <w:t>Guia de Comportamento de Salvaguarda (Anexo IV), os funcionários</w:t>
      </w:r>
      <w:r>
        <w:rPr>
          <w:rFonts w:hint="default" w:ascii="Times New Roman" w:hAnsi="Times New Roman" w:cs="Times New Roman"/>
          <w:lang w:val="pt-PT"/>
        </w:rPr>
        <w:t xml:space="preserve"> são obrigados a cumprir esta política, tendo sempre em mente o superior interesse da criança ou adulto vulnerável. </w:t>
      </w:r>
    </w:p>
    <w:p w14:paraId="3558270B">
      <w:pPr>
        <w:ind w:left="0" w:right="30"/>
        <w:jc w:val="both"/>
        <w:rPr>
          <w:rFonts w:hint="default" w:ascii="Times New Roman" w:hAnsi="Times New Roman" w:cs="Times New Roman"/>
          <w:lang w:val="pt-PT"/>
        </w:rPr>
      </w:pPr>
    </w:p>
    <w:p w14:paraId="419AC89E">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Localização</w:t>
      </w:r>
      <w:r>
        <w:rPr>
          <w:rFonts w:hint="default" w:ascii="Times New Roman" w:hAnsi="Times New Roman" w:cs="Times New Roman"/>
          <w:lang w:val="pt-PT"/>
        </w:rPr>
        <w:t xml:space="preserve">: Para efeitos desta política, "localização" refere-se a qualquer escritório ou local onde três ou mais funcionários do Consórcio da Malária estão permanentemente sediados. </w:t>
      </w:r>
    </w:p>
    <w:p w14:paraId="0B62FD64">
      <w:pPr>
        <w:ind w:left="0" w:right="30"/>
        <w:jc w:val="both"/>
        <w:rPr>
          <w:rFonts w:hint="default" w:ascii="Times New Roman" w:hAnsi="Times New Roman" w:cs="Times New Roman"/>
          <w:lang w:val="pt-PT"/>
        </w:rPr>
      </w:pPr>
    </w:p>
    <w:p w14:paraId="419AC89F">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 xml:space="preserve">Negligência: </w:t>
      </w:r>
      <w:r>
        <w:rPr>
          <w:rFonts w:hint="default" w:ascii="Times New Roman" w:hAnsi="Times New Roman" w:cs="Times New Roman"/>
          <w:lang w:val="pt-PT"/>
        </w:rPr>
        <w:t xml:space="preserve">A negligência é a falha persistente ou a negação deliberada de fornecer a uma criança água potável, comida, abrigo, apoio emocional ou amor, saneamento, supervisão ou cuidados na medida em que a saúde e o desenvolvimento da criança sejam colocados em risco. </w:t>
      </w:r>
    </w:p>
    <w:p w14:paraId="2E091603">
      <w:pPr>
        <w:ind w:left="0" w:right="30"/>
        <w:jc w:val="both"/>
        <w:rPr>
          <w:rFonts w:hint="default" w:ascii="Times New Roman" w:hAnsi="Times New Roman" w:cs="Times New Roman"/>
          <w:lang w:val="pt-PT"/>
        </w:rPr>
      </w:pPr>
    </w:p>
    <w:p w14:paraId="419AC8A0">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Aliciamento em linha</w:t>
      </w:r>
      <w:r>
        <w:rPr>
          <w:rFonts w:hint="default" w:ascii="Times New Roman" w:hAnsi="Times New Roman" w:cs="Times New Roman"/>
          <w:lang w:val="pt-PT"/>
        </w:rPr>
        <w:t xml:space="preserve">: o ato de enviar uma mensagem eletrónica com conteúdo indecente a um destinatário, que o remetente acredita ser uma criança, com a intenção de obter o destinatário para se envolver ou submeter-se a atividade sexual com outra pessoa, incluindo, mas não necessariamente, o remetente.  </w:t>
      </w:r>
    </w:p>
    <w:p w14:paraId="73FF16D8">
      <w:pPr>
        <w:ind w:left="0" w:right="30"/>
        <w:jc w:val="left"/>
        <w:rPr>
          <w:rFonts w:hint="default" w:ascii="Times New Roman" w:hAnsi="Times New Roman" w:cs="Times New Roman"/>
          <w:lang w:val="pt-PT"/>
        </w:rPr>
      </w:pPr>
    </w:p>
    <w:p w14:paraId="419AC8A1">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Parceiros</w:t>
      </w:r>
      <w:r>
        <w:rPr>
          <w:rFonts w:hint="default" w:ascii="Times New Roman" w:hAnsi="Times New Roman" w:cs="Times New Roman"/>
          <w:lang w:val="pt-PT"/>
        </w:rPr>
        <w:t xml:space="preserve">: Para efeitos desta política, «parceiros» refere-se a administradores do Consórcio para a Malária, voluntários, agentes comunitários, estagiários, consultores, contratantes, agências parceiras, subbeneficiários e visitantes de projetos.  </w:t>
      </w:r>
    </w:p>
    <w:p w14:paraId="70C75091">
      <w:pPr>
        <w:ind w:left="0" w:right="30"/>
        <w:jc w:val="both"/>
        <w:rPr>
          <w:rFonts w:hint="default" w:ascii="Times New Roman" w:hAnsi="Times New Roman" w:cs="Times New Roman"/>
          <w:lang w:val="pt-PT"/>
        </w:rPr>
      </w:pPr>
    </w:p>
    <w:p w14:paraId="419AC8A2">
      <w:pPr>
        <w:ind w:left="0" w:right="30"/>
        <w:jc w:val="both"/>
        <w:rPr>
          <w:rFonts w:hint="default" w:ascii="Times New Roman" w:hAnsi="Times New Roman" w:cs="Times New Roman"/>
          <w:lang w:val="pt-PT"/>
        </w:rPr>
      </w:pPr>
      <w:r>
        <w:rPr>
          <w:rFonts w:hint="default" w:ascii="Times New Roman" w:hAnsi="Times New Roman" w:eastAsia="Calibri" w:cs="Times New Roman"/>
          <w:b/>
          <w:bCs/>
          <w:lang w:val="pt-PT"/>
        </w:rPr>
        <w:t xml:space="preserve">Abuso físico: O </w:t>
      </w:r>
      <w:r>
        <w:rPr>
          <w:rFonts w:hint="default" w:ascii="Times New Roman" w:hAnsi="Times New Roman" w:cs="Times New Roman"/>
          <w:lang w:val="pt-PT"/>
        </w:rPr>
        <w:t xml:space="preserve">abuso físico ocorre quando uma pessoa intencionalmente fere ou ameaça ferir uma criança ou pessoa vulnerável. Isto pode assumir qualquer forma de tratamento físico, incluindo, mas não limitado a tapas, socos, tremores, pontapés, queimaduras, empurrões ou agarrões. A lesão pode assumir qualquer forma, incluindo, mas não limitado a hematomas, cortes, queimaduras ou fraturas. </w:t>
      </w:r>
    </w:p>
    <w:p w14:paraId="5A7E3AB5">
      <w:pPr>
        <w:ind w:left="0" w:right="30"/>
        <w:jc w:val="both"/>
        <w:rPr>
          <w:rFonts w:hint="default" w:ascii="Times New Roman" w:hAnsi="Times New Roman" w:cs="Times New Roman"/>
          <w:lang w:val="pt-PT"/>
        </w:rPr>
      </w:pPr>
    </w:p>
    <w:p w14:paraId="419AC8A3">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Ambiente Seguro</w:t>
      </w:r>
      <w:r>
        <w:rPr>
          <w:rFonts w:hint="default" w:ascii="Times New Roman" w:hAnsi="Times New Roman" w:cs="Times New Roman"/>
          <w:lang w:val="pt-PT"/>
        </w:rPr>
        <w:t xml:space="preserve">: Um ambiente seguro para crianças/adultos vulneráveis é aquele em que são tomadas medidas ativas para reduzir os riscos de danos contra, e existem diretrizes e procedimentos claros e estabelecidos para conduta, denúncia de abuso e acompanhamento. </w:t>
      </w:r>
    </w:p>
    <w:p w14:paraId="4EBE00C0">
      <w:pPr>
        <w:ind w:left="0" w:right="30"/>
        <w:jc w:val="both"/>
        <w:rPr>
          <w:rFonts w:hint="default" w:ascii="Times New Roman" w:hAnsi="Times New Roman" w:cs="Times New Roman"/>
          <w:lang w:val="pt-PT"/>
        </w:rPr>
      </w:pPr>
    </w:p>
    <w:p w14:paraId="419AC8A4">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 xml:space="preserve">Pessoa Focal de Salvaguarda: </w:t>
      </w:r>
      <w:r>
        <w:rPr>
          <w:rFonts w:hint="default" w:ascii="Times New Roman" w:hAnsi="Times New Roman" w:cs="Times New Roman"/>
          <w:lang w:val="pt-PT"/>
        </w:rPr>
        <w:t xml:space="preserve">A Pessoa Focal de Salvaguarda para a Malária Consórcio será o Diretor de País ou Regional que servirá como o primeiro ponto de contato para quaisquer preocupações de salvaguarda e pessoal de apoio na compreensão das responsabilidades de salvaguarda do Consórcio Malária.  </w:t>
      </w:r>
    </w:p>
    <w:p w14:paraId="00AFD6E3">
      <w:pPr>
        <w:ind w:left="0" w:right="30"/>
        <w:jc w:val="both"/>
        <w:rPr>
          <w:rFonts w:hint="default" w:ascii="Times New Roman" w:hAnsi="Times New Roman" w:cs="Times New Roman"/>
          <w:lang w:val="pt-PT"/>
        </w:rPr>
      </w:pPr>
    </w:p>
    <w:p w14:paraId="419AC8A5">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 xml:space="preserve">Abuso sexual: </w:t>
      </w:r>
      <w:r>
        <w:rPr>
          <w:rFonts w:hint="default" w:ascii="Times New Roman" w:hAnsi="Times New Roman" w:cs="Times New Roman"/>
          <w:lang w:val="pt-PT"/>
        </w:rPr>
        <w:t xml:space="preserve">O abuso sexual é a intrusão física real ou ameaçada de natureza sexual, incluindo toques inadequados, pela força ou em condições desiguais ou coercivas. Exemplos disso incluem o uso de uma criança para satisfação sexual por um adulto ou criança ou adolescente significativamente mais velho. Os comportamentos sexualmente abusivos podem incluir tocar fisicamente os órgãos genitais/corpo, masturbação ou penetração, voyeurismo, exibicionismo e expor a criança ou envolvê-la em pornografia. </w:t>
      </w:r>
    </w:p>
    <w:p w14:paraId="4A21DEE7">
      <w:pPr>
        <w:ind w:left="0" w:right="30"/>
        <w:jc w:val="both"/>
        <w:rPr>
          <w:rFonts w:hint="default" w:ascii="Times New Roman" w:hAnsi="Times New Roman" w:cs="Times New Roman"/>
          <w:lang w:val="pt-PT"/>
        </w:rPr>
      </w:pPr>
    </w:p>
    <w:p w14:paraId="419AC8A6">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Turismo sexual:</w:t>
      </w:r>
      <w:r>
        <w:rPr>
          <w:rFonts w:hint="default" w:ascii="Times New Roman" w:hAnsi="Times New Roman" w:cs="Times New Roman"/>
          <w:lang w:val="pt-PT"/>
        </w:rPr>
        <w:t xml:space="preserve"> Turismo, geralmente efetuado por indivíduos ou grupos de países desenvolvidos para países pobres ou em desenvolvimento, com o objetivo específico de aceder a crianças ou adultos nesses países para fins de exploração sexual comercial. </w:t>
      </w:r>
    </w:p>
    <w:p w14:paraId="5B9B2B04">
      <w:pPr>
        <w:ind w:left="0" w:right="30"/>
        <w:jc w:val="both"/>
        <w:rPr>
          <w:rFonts w:hint="default" w:ascii="Times New Roman" w:hAnsi="Times New Roman" w:cs="Times New Roman"/>
          <w:lang w:val="pt-PT"/>
        </w:rPr>
      </w:pPr>
    </w:p>
    <w:p w14:paraId="419AC8A7">
      <w:pPr>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 xml:space="preserve">Tráfico sexual: </w:t>
      </w:r>
      <w:r>
        <w:rPr>
          <w:rFonts w:hint="default" w:ascii="Times New Roman" w:hAnsi="Times New Roman" w:cs="Times New Roman"/>
          <w:lang w:val="pt-PT"/>
        </w:rPr>
        <w:t xml:space="preserve">Deslocação de crianças ou adultos de um local para outro, geralmente com a troca de dinheiro, com o objetivo de envolver essas crianças ou adultos em trabalho sexual comercial ou para outra exploração sexual, como o casamento forçado. </w:t>
      </w:r>
    </w:p>
    <w:p w14:paraId="388F8139">
      <w:pPr>
        <w:ind w:left="0" w:right="30"/>
        <w:jc w:val="both"/>
        <w:rPr>
          <w:rFonts w:hint="default" w:ascii="Times New Roman" w:hAnsi="Times New Roman" w:cs="Times New Roman"/>
          <w:lang w:val="pt-PT"/>
        </w:rPr>
      </w:pPr>
    </w:p>
    <w:p w14:paraId="419AC8A8">
      <w:pPr>
        <w:spacing w:after="306"/>
        <w:ind w:left="0" w:right="30"/>
        <w:jc w:val="both"/>
        <w:rPr>
          <w:rFonts w:hint="default" w:ascii="Times New Roman" w:hAnsi="Times New Roman" w:cs="Times New Roman"/>
          <w:lang w:val="pt-PT"/>
        </w:rPr>
      </w:pPr>
      <w:r>
        <w:rPr>
          <w:rFonts w:hint="default" w:ascii="Times New Roman" w:hAnsi="Times New Roman" w:eastAsia="Calibri" w:cs="Times New Roman"/>
          <w:b/>
          <w:lang w:val="pt-PT"/>
        </w:rPr>
        <w:t>Sobrevivente:</w:t>
      </w:r>
      <w:r>
        <w:rPr>
          <w:rFonts w:hint="default" w:ascii="Times New Roman" w:hAnsi="Times New Roman" w:cs="Times New Roman"/>
          <w:lang w:val="pt-PT"/>
        </w:rPr>
        <w:t xml:space="preserve"> A pessoa que foi abusada ou explorada. O termo "sobrevivente" é frequentemente usado em preferência a "vítima", pois implica força, resiliência e capacidade de sobreviver, no entanto, é escolha do indivíduo como ele deseja se identificar.  </w:t>
      </w:r>
    </w:p>
    <w:p w14:paraId="419AC8A9">
      <w:pPr>
        <w:jc w:val="left"/>
        <w:rPr>
          <w:rFonts w:hint="default" w:ascii="Times New Roman" w:hAnsi="Times New Roman" w:cs="Times New Roman"/>
          <w:lang w:val="pt-BR"/>
        </w:rPr>
      </w:pPr>
    </w:p>
    <w:sectPr>
      <w:headerReference r:id="rId3" w:type="default"/>
      <w:footerReference r:id="rId4" w:type="default"/>
      <w:footerReference r:id="rId5" w:type="even"/>
      <w:pgSz w:w="12240" w:h="15840"/>
      <w:pgMar w:top="1440" w:right="1008" w:bottom="1440" w:left="1008" w:header="720" w:footer="720" w:gutter="0"/>
      <w:cols w:space="720" w:num="1"/>
      <w:docGrid w:linePitch="27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A00002AF" w:usb1="400078FB" w:usb2="00000000" w:usb3="00000000" w:csb0="6000009F" w:csb1="DFD70000"/>
  </w:font>
  <w:font w:name="Symbol">
    <w:panose1 w:val="05050102010706020507"/>
    <w:charset w:val="02"/>
    <w:family w:val="roman"/>
    <w:pitch w:val="default"/>
    <w:sig w:usb0="00000000" w:usb1="00000000" w:usb2="00000000" w:usb3="00000000" w:csb0="80000000" w:csb1="00000000"/>
  </w:font>
  <w:font w:name="Candara">
    <w:panose1 w:val="020E0502030303020204"/>
    <w:charset w:val="00"/>
    <w:family w:val="auto"/>
    <w:pitch w:val="default"/>
    <w:sig w:usb0="A00002EF" w:usb1="4000A44B" w:usb2="00000000" w:usb3="00000000" w:csb0="2000019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AC8B5">
    <w:pPr>
      <w:pStyle w:val="18"/>
      <w:tabs>
        <w:tab w:val="left" w:pos="8310"/>
        <w:tab w:val="right" w:pos="9404"/>
      </w:tabs>
      <w:ind w:left="0"/>
      <w:rPr>
        <w:rFonts w:asciiTheme="minorHAnsi" w:hAnsiTheme="minorHAnsi" w:cstheme="minorHAnsi"/>
        <w:lang w:val="pt-PT"/>
      </w:rPr>
    </w:pPr>
    <w:r>
      <w:rPr>
        <w:rFonts w:asciiTheme="minorHAnsi" w:hAnsiTheme="minorHAnsi" w:cstheme="minorHAnsi"/>
        <w:lang w:val="pt-PT"/>
      </w:rPr>
      <w:t>Malária Consórcio EOI v2.0</w:t>
    </w:r>
    <w:r>
      <w:rPr>
        <w:rFonts w:hint="default" w:asciiTheme="minorHAnsi" w:hAnsiTheme="minorHAnsi" w:cstheme="minorHAnsi"/>
        <w:lang w:val="pt-PT"/>
      </w:rPr>
      <w:t xml:space="preserve">                </w:t>
    </w:r>
    <w:r>
      <w:rPr>
        <w:rFonts w:asciiTheme="minorHAnsi" w:hAnsiTheme="minorHAnsi" w:cstheme="minorHAnsi"/>
        <w:lang w:val="pt-PT"/>
      </w:rPr>
      <w:tab/>
    </w:r>
    <w:r>
      <w:rPr>
        <w:rFonts w:asciiTheme="minorHAnsi" w:hAnsiTheme="minorHAnsi" w:cstheme="minorHAnsi"/>
        <w:b/>
        <w:bCs/>
        <w:caps/>
        <w:sz w:val="22"/>
        <w:szCs w:val="22"/>
        <w:lang w:val="pt-PT"/>
      </w:rPr>
      <w:t>MC-MZ-</w:t>
    </w:r>
    <w:r>
      <w:rPr>
        <w:rFonts w:hint="default" w:asciiTheme="minorHAnsi" w:hAnsiTheme="minorHAnsi" w:cstheme="minorHAnsi"/>
        <w:b/>
        <w:bCs/>
        <w:caps/>
        <w:sz w:val="22"/>
        <w:szCs w:val="22"/>
        <w:lang w:val="pt-PT"/>
      </w:rPr>
      <w:t>SMC-012 - fORNECIMENTO DE PRODUTOS E SERVIÇOS</w:t>
    </w:r>
    <w:r>
      <w:rPr>
        <w:rFonts w:asciiTheme="minorHAnsi" w:hAnsiTheme="minorHAnsi" w:cstheme="minorHAnsi"/>
        <w:lang w:val="pt-PT"/>
      </w:rPr>
      <w:tab/>
    </w:r>
    <w:r>
      <w:rPr>
        <w:rFonts w:asciiTheme="minorHAnsi" w:hAnsiTheme="minorHAnsi" w:cstheme="minorHAnsi"/>
        <w:lang w:val="pt-PT"/>
      </w:rPr>
      <w:t xml:space="preserve">Página </w:t>
    </w:r>
    <w:r>
      <w:rPr>
        <w:rFonts w:asciiTheme="minorHAnsi" w:hAnsiTheme="minorHAnsi" w:cstheme="minorHAnsi"/>
        <w:b/>
        <w:bCs/>
      </w:rPr>
      <w:fldChar w:fldCharType="begin"/>
    </w:r>
    <w:r>
      <w:rPr>
        <w:rFonts w:asciiTheme="minorHAnsi" w:hAnsiTheme="minorHAnsi" w:cstheme="minorHAnsi"/>
        <w:b/>
        <w:bCs/>
        <w:lang w:val="pt-PT"/>
      </w:rPr>
      <w:instrText xml:space="preserve"> PAGE </w:instrText>
    </w:r>
    <w:r>
      <w:rPr>
        <w:rFonts w:asciiTheme="minorHAnsi" w:hAnsiTheme="minorHAnsi" w:cstheme="minorHAnsi"/>
        <w:b/>
        <w:bCs/>
      </w:rPr>
      <w:fldChar w:fldCharType="separate"/>
    </w:r>
    <w:r>
      <w:rPr>
        <w:rFonts w:asciiTheme="minorHAnsi" w:hAnsiTheme="minorHAnsi" w:cstheme="minorHAnsi"/>
        <w:b/>
        <w:bCs/>
        <w:lang w:val="pt-PT"/>
      </w:rPr>
      <w:t>1</w:t>
    </w:r>
    <w:r>
      <w:rPr>
        <w:rFonts w:asciiTheme="minorHAnsi" w:hAnsiTheme="minorHAnsi" w:cstheme="minorHAnsi"/>
        <w:b/>
        <w:bCs/>
      </w:rPr>
      <w:fldChar w:fldCharType="end"/>
    </w:r>
    <w:r>
      <w:rPr>
        <w:rFonts w:asciiTheme="minorHAnsi" w:hAnsiTheme="minorHAnsi" w:cstheme="minorHAnsi"/>
        <w:lang w:val="pt-PT"/>
      </w:rPr>
      <w:t xml:space="preserve"> de </w:t>
    </w:r>
    <w:r>
      <w:rPr>
        <w:rFonts w:asciiTheme="minorHAnsi" w:hAnsiTheme="minorHAnsi" w:cstheme="minorHAnsi"/>
        <w:b/>
        <w:bCs/>
      </w:rPr>
      <w:fldChar w:fldCharType="begin"/>
    </w:r>
    <w:r>
      <w:rPr>
        <w:rFonts w:asciiTheme="minorHAnsi" w:hAnsiTheme="minorHAnsi" w:cstheme="minorHAnsi"/>
        <w:b/>
        <w:bCs/>
        <w:lang w:val="pt-PT"/>
      </w:rPr>
      <w:instrText xml:space="preserve"> NUMPAGES  </w:instrText>
    </w:r>
    <w:r>
      <w:rPr>
        <w:rFonts w:asciiTheme="minorHAnsi" w:hAnsiTheme="minorHAnsi" w:cstheme="minorHAnsi"/>
        <w:b/>
        <w:bCs/>
      </w:rPr>
      <w:fldChar w:fldCharType="separate"/>
    </w:r>
    <w:r>
      <w:rPr>
        <w:rFonts w:asciiTheme="minorHAnsi" w:hAnsiTheme="minorHAnsi" w:cstheme="minorHAnsi"/>
        <w:b/>
        <w:bCs/>
        <w:lang w:val="pt-PT"/>
      </w:rPr>
      <w:t>18</w:t>
    </w:r>
    <w:r>
      <w:rPr>
        <w:rFonts w:asciiTheme="minorHAnsi" w:hAnsiTheme="minorHAnsi" w:cstheme="minorHAnsi"/>
        <w:b/>
        <w:bCs/>
      </w:rPr>
      <w:fldChar w:fldCharType="end"/>
    </w:r>
  </w:p>
  <w:p w14:paraId="419AC8B6">
    <w:pPr>
      <w:rPr>
        <w:rFonts w:asciiTheme="minorHAnsi" w:hAnsiTheme="minorHAnsi" w:cstheme="minorHAnsi"/>
        <w:lang w:val="pt-P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AC8B1">
    <w:pPr>
      <w:pStyle w:val="18"/>
      <w:framePr w:wrap="around" w:vAnchor="text" w:hAnchor="margin" w:xAlign="center" w:y="1"/>
      <w:rPr>
        <w:rStyle w:val="23"/>
      </w:rPr>
    </w:pPr>
    <w:r>
      <w:rPr>
        <w:rStyle w:val="23"/>
      </w:rPr>
      <w:fldChar w:fldCharType="begin"/>
    </w:r>
    <w:r>
      <w:rPr>
        <w:rStyle w:val="23"/>
      </w:rPr>
      <w:instrText xml:space="preserve">PAGE  </w:instrText>
    </w:r>
    <w:r>
      <w:rPr>
        <w:rStyle w:val="23"/>
      </w:rPr>
      <w:fldChar w:fldCharType="end"/>
    </w:r>
  </w:p>
  <w:p w14:paraId="419AC8B2">
    <w:pPr>
      <w:pStyle w:val="18"/>
    </w:pPr>
  </w:p>
  <w:p w14:paraId="419AC8B3"/>
  <w:p w14:paraId="419AC8B4"/>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AC8AE">
    <w:pPr>
      <w:pStyle w:val="21"/>
      <w:ind w:left="0"/>
      <w:rPr>
        <w:lang w:val="en-US"/>
      </w:rPr>
    </w:pPr>
  </w:p>
  <w:p w14:paraId="419AC8AF"/>
  <w:p w14:paraId="419AC8B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D2D8EB"/>
    <w:multiLevelType w:val="singleLevel"/>
    <w:tmpl w:val="F2D2D8EB"/>
    <w:lvl w:ilvl="0" w:tentative="0">
      <w:start w:val="2"/>
      <w:numFmt w:val="upperLetter"/>
      <w:suff w:val="space"/>
      <w:lvlText w:val="%1."/>
      <w:lvlJc w:val="left"/>
    </w:lvl>
  </w:abstractNum>
  <w:abstractNum w:abstractNumId="1">
    <w:nsid w:val="016E0FB3"/>
    <w:multiLevelType w:val="multilevel"/>
    <w:tmpl w:val="016E0FB3"/>
    <w:lvl w:ilvl="0" w:tentative="0">
      <w:start w:val="1"/>
      <w:numFmt w:val="bullet"/>
      <w:pStyle w:val="31"/>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2">
    <w:nsid w:val="01CC2E19"/>
    <w:multiLevelType w:val="multilevel"/>
    <w:tmpl w:val="01CC2E19"/>
    <w:lvl w:ilvl="0" w:tentative="0">
      <w:start w:val="1"/>
      <w:numFmt w:val="decimal"/>
      <w:lvlText w:val="%1."/>
      <w:lvlJc w:val="left"/>
      <w:pPr>
        <w:ind w:left="1080" w:hanging="72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02D6773C"/>
    <w:multiLevelType w:val="multilevel"/>
    <w:tmpl w:val="02D6773C"/>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4">
    <w:nsid w:val="099D7975"/>
    <w:multiLevelType w:val="multilevel"/>
    <w:tmpl w:val="099D797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1399062B"/>
    <w:multiLevelType w:val="multilevel"/>
    <w:tmpl w:val="1399062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17746906"/>
    <w:multiLevelType w:val="multilevel"/>
    <w:tmpl w:val="17746906"/>
    <w:lvl w:ilvl="0" w:tentative="0">
      <w:start w:val="1"/>
      <w:numFmt w:val="bullet"/>
      <w:lvlText w:val="•"/>
      <w:lvlJc w:val="left"/>
      <w:pPr>
        <w:ind w:left="1714"/>
      </w:pPr>
      <w:rPr>
        <w:rFonts w:ascii="Arial" w:hAnsi="Arial" w:eastAsia="Arial" w:cs="Arial"/>
        <w:b w:val="0"/>
        <w:i w:val="0"/>
        <w:strike w:val="0"/>
        <w:dstrike w:val="0"/>
        <w:color w:val="000000"/>
        <w:sz w:val="20"/>
        <w:szCs w:val="20"/>
        <w:u w:val="none" w:color="000000"/>
        <w:shd w:val="clear" w:color="auto" w:fill="auto"/>
        <w:vertAlign w:val="baseline"/>
      </w:rPr>
    </w:lvl>
    <w:lvl w:ilvl="1" w:tentative="0">
      <w:start w:val="1"/>
      <w:numFmt w:val="bullet"/>
      <w:lvlText w:val="o"/>
      <w:lvlJc w:val="left"/>
      <w:pPr>
        <w:ind w:left="1440"/>
      </w:pPr>
      <w:rPr>
        <w:rFonts w:ascii="Segoe UI Symbol" w:hAnsi="Segoe UI Symbol" w:eastAsia="Segoe UI Symbol" w:cs="Segoe UI Symbol"/>
        <w:b w:val="0"/>
        <w:i w:val="0"/>
        <w:strike w:val="0"/>
        <w:dstrike w:val="0"/>
        <w:color w:val="000000"/>
        <w:sz w:val="20"/>
        <w:szCs w:val="20"/>
        <w:u w:val="none" w:color="000000"/>
        <w:shd w:val="clear" w:color="auto" w:fill="auto"/>
        <w:vertAlign w:val="baseline"/>
      </w:rPr>
    </w:lvl>
    <w:lvl w:ilvl="2" w:tentative="0">
      <w:start w:val="1"/>
      <w:numFmt w:val="bullet"/>
      <w:lvlText w:val="▪"/>
      <w:lvlJc w:val="left"/>
      <w:pPr>
        <w:ind w:left="2160"/>
      </w:pPr>
      <w:rPr>
        <w:rFonts w:ascii="Segoe UI Symbol" w:hAnsi="Segoe UI Symbol" w:eastAsia="Segoe UI Symbol" w:cs="Segoe UI Symbol"/>
        <w:b w:val="0"/>
        <w:i w:val="0"/>
        <w:strike w:val="0"/>
        <w:dstrike w:val="0"/>
        <w:color w:val="000000"/>
        <w:sz w:val="20"/>
        <w:szCs w:val="20"/>
        <w:u w:val="none" w:color="000000"/>
        <w:shd w:val="clear" w:color="auto" w:fill="auto"/>
        <w:vertAlign w:val="baseline"/>
      </w:rPr>
    </w:lvl>
    <w:lvl w:ilvl="3" w:tentative="0">
      <w:start w:val="1"/>
      <w:numFmt w:val="bullet"/>
      <w:lvlText w:val="•"/>
      <w:lvlJc w:val="left"/>
      <w:pPr>
        <w:ind w:left="2880"/>
      </w:pPr>
      <w:rPr>
        <w:rFonts w:ascii="Arial" w:hAnsi="Arial" w:eastAsia="Arial" w:cs="Arial"/>
        <w:b w:val="0"/>
        <w:i w:val="0"/>
        <w:strike w:val="0"/>
        <w:dstrike w:val="0"/>
        <w:color w:val="000000"/>
        <w:sz w:val="20"/>
        <w:szCs w:val="20"/>
        <w:u w:val="none" w:color="000000"/>
        <w:shd w:val="clear" w:color="auto" w:fill="auto"/>
        <w:vertAlign w:val="baseline"/>
      </w:rPr>
    </w:lvl>
    <w:lvl w:ilvl="4" w:tentative="0">
      <w:start w:val="1"/>
      <w:numFmt w:val="bullet"/>
      <w:lvlText w:val="o"/>
      <w:lvlJc w:val="left"/>
      <w:pPr>
        <w:ind w:left="3600"/>
      </w:pPr>
      <w:rPr>
        <w:rFonts w:ascii="Segoe UI Symbol" w:hAnsi="Segoe UI Symbol" w:eastAsia="Segoe UI Symbol" w:cs="Segoe UI Symbol"/>
        <w:b w:val="0"/>
        <w:i w:val="0"/>
        <w:strike w:val="0"/>
        <w:dstrike w:val="0"/>
        <w:color w:val="000000"/>
        <w:sz w:val="20"/>
        <w:szCs w:val="20"/>
        <w:u w:val="none" w:color="000000"/>
        <w:shd w:val="clear" w:color="auto" w:fill="auto"/>
        <w:vertAlign w:val="baseline"/>
      </w:rPr>
    </w:lvl>
    <w:lvl w:ilvl="5" w:tentative="0">
      <w:start w:val="1"/>
      <w:numFmt w:val="bullet"/>
      <w:lvlText w:val="▪"/>
      <w:lvlJc w:val="left"/>
      <w:pPr>
        <w:ind w:left="4320"/>
      </w:pPr>
      <w:rPr>
        <w:rFonts w:ascii="Segoe UI Symbol" w:hAnsi="Segoe UI Symbol" w:eastAsia="Segoe UI Symbol" w:cs="Segoe UI Symbol"/>
        <w:b w:val="0"/>
        <w:i w:val="0"/>
        <w:strike w:val="0"/>
        <w:dstrike w:val="0"/>
        <w:color w:val="000000"/>
        <w:sz w:val="20"/>
        <w:szCs w:val="20"/>
        <w:u w:val="none" w:color="000000"/>
        <w:shd w:val="clear" w:color="auto" w:fill="auto"/>
        <w:vertAlign w:val="baseline"/>
      </w:rPr>
    </w:lvl>
    <w:lvl w:ilvl="6" w:tentative="0">
      <w:start w:val="1"/>
      <w:numFmt w:val="bullet"/>
      <w:lvlText w:val="•"/>
      <w:lvlJc w:val="left"/>
      <w:pPr>
        <w:ind w:left="5040"/>
      </w:pPr>
      <w:rPr>
        <w:rFonts w:ascii="Arial" w:hAnsi="Arial" w:eastAsia="Arial" w:cs="Arial"/>
        <w:b w:val="0"/>
        <w:i w:val="0"/>
        <w:strike w:val="0"/>
        <w:dstrike w:val="0"/>
        <w:color w:val="000000"/>
        <w:sz w:val="20"/>
        <w:szCs w:val="20"/>
        <w:u w:val="none" w:color="000000"/>
        <w:shd w:val="clear" w:color="auto" w:fill="auto"/>
        <w:vertAlign w:val="baseline"/>
      </w:rPr>
    </w:lvl>
    <w:lvl w:ilvl="7" w:tentative="0">
      <w:start w:val="1"/>
      <w:numFmt w:val="bullet"/>
      <w:lvlText w:val="o"/>
      <w:lvlJc w:val="left"/>
      <w:pPr>
        <w:ind w:left="5760"/>
      </w:pPr>
      <w:rPr>
        <w:rFonts w:ascii="Segoe UI Symbol" w:hAnsi="Segoe UI Symbol" w:eastAsia="Segoe UI Symbol" w:cs="Segoe UI Symbol"/>
        <w:b w:val="0"/>
        <w:i w:val="0"/>
        <w:strike w:val="0"/>
        <w:dstrike w:val="0"/>
        <w:color w:val="000000"/>
        <w:sz w:val="20"/>
        <w:szCs w:val="20"/>
        <w:u w:val="none" w:color="000000"/>
        <w:shd w:val="clear" w:color="auto" w:fill="auto"/>
        <w:vertAlign w:val="baseline"/>
      </w:rPr>
    </w:lvl>
    <w:lvl w:ilvl="8" w:tentative="0">
      <w:start w:val="1"/>
      <w:numFmt w:val="bullet"/>
      <w:lvlText w:val="▪"/>
      <w:lvlJc w:val="left"/>
      <w:pPr>
        <w:ind w:left="6480"/>
      </w:pPr>
      <w:rPr>
        <w:rFonts w:ascii="Segoe UI Symbol" w:hAnsi="Segoe UI Symbol" w:eastAsia="Segoe UI Symbol" w:cs="Segoe UI Symbol"/>
        <w:b w:val="0"/>
        <w:i w:val="0"/>
        <w:strike w:val="0"/>
        <w:dstrike w:val="0"/>
        <w:color w:val="000000"/>
        <w:sz w:val="20"/>
        <w:szCs w:val="20"/>
        <w:u w:val="none" w:color="000000"/>
        <w:shd w:val="clear" w:color="auto" w:fill="auto"/>
        <w:vertAlign w:val="baseline"/>
      </w:rPr>
    </w:lvl>
  </w:abstractNum>
  <w:abstractNum w:abstractNumId="7">
    <w:nsid w:val="20E07546"/>
    <w:multiLevelType w:val="multilevel"/>
    <w:tmpl w:val="20E0754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
    <w:nsid w:val="2724432E"/>
    <w:multiLevelType w:val="multilevel"/>
    <w:tmpl w:val="2724432E"/>
    <w:lvl w:ilvl="0" w:tentative="0">
      <w:start w:val="1"/>
      <w:numFmt w:val="bullet"/>
      <w:lvlText w:val="•"/>
      <w:lvlJc w:val="left"/>
      <w:pPr>
        <w:ind w:left="1714"/>
      </w:pPr>
      <w:rPr>
        <w:rFonts w:ascii="Arial" w:hAnsi="Arial" w:eastAsia="Arial" w:cs="Arial"/>
        <w:b w:val="0"/>
        <w:i w:val="0"/>
        <w:strike w:val="0"/>
        <w:dstrike w:val="0"/>
        <w:color w:val="000000"/>
        <w:sz w:val="22"/>
        <w:szCs w:val="22"/>
        <w:u w:val="none" w:color="000000"/>
        <w:shd w:val="clear" w:color="auto" w:fill="auto"/>
        <w:vertAlign w:val="baseline"/>
      </w:rPr>
    </w:lvl>
    <w:lvl w:ilvl="1" w:tentative="0">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2" w:tentative="0">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3" w:tentative="0">
      <w:start w:val="1"/>
      <w:numFmt w:val="bullet"/>
      <w:lvlText w:val="•"/>
      <w:lvlJc w:val="left"/>
      <w:pPr>
        <w:ind w:left="2880"/>
      </w:pPr>
      <w:rPr>
        <w:rFonts w:ascii="Arial" w:hAnsi="Arial" w:eastAsia="Arial" w:cs="Arial"/>
        <w:b w:val="0"/>
        <w:i w:val="0"/>
        <w:strike w:val="0"/>
        <w:dstrike w:val="0"/>
        <w:color w:val="000000"/>
        <w:sz w:val="22"/>
        <w:szCs w:val="22"/>
        <w:u w:val="none" w:color="000000"/>
        <w:shd w:val="clear" w:color="auto" w:fill="auto"/>
        <w:vertAlign w:val="baseline"/>
      </w:rPr>
    </w:lvl>
    <w:lvl w:ilvl="4" w:tentative="0">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5" w:tentative="0">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6" w:tentative="0">
      <w:start w:val="1"/>
      <w:numFmt w:val="bullet"/>
      <w:lvlText w:val="•"/>
      <w:lvlJc w:val="left"/>
      <w:pPr>
        <w:ind w:left="5040"/>
      </w:pPr>
      <w:rPr>
        <w:rFonts w:ascii="Arial" w:hAnsi="Arial" w:eastAsia="Arial" w:cs="Arial"/>
        <w:b w:val="0"/>
        <w:i w:val="0"/>
        <w:strike w:val="0"/>
        <w:dstrike w:val="0"/>
        <w:color w:val="000000"/>
        <w:sz w:val="22"/>
        <w:szCs w:val="22"/>
        <w:u w:val="none" w:color="000000"/>
        <w:shd w:val="clear" w:color="auto" w:fill="auto"/>
        <w:vertAlign w:val="baseline"/>
      </w:rPr>
    </w:lvl>
    <w:lvl w:ilvl="7" w:tentative="0">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8" w:tentative="0">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abstractNum>
  <w:abstractNum w:abstractNumId="9">
    <w:nsid w:val="2D566545"/>
    <w:multiLevelType w:val="multilevel"/>
    <w:tmpl w:val="2D56654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
    <w:nsid w:val="35595B56"/>
    <w:multiLevelType w:val="multilevel"/>
    <w:tmpl w:val="35595B56"/>
    <w:lvl w:ilvl="0" w:tentative="0">
      <w:start w:val="2"/>
      <w:numFmt w:val="upperLetter"/>
      <w:pStyle w:val="4"/>
      <w:lvlText w:val="%1"/>
      <w:lvlJc w:val="left"/>
      <w:pPr>
        <w:tabs>
          <w:tab w:val="left" w:pos="360"/>
        </w:tabs>
        <w:ind w:left="360" w:hanging="360"/>
      </w:pPr>
      <w:rPr>
        <w:rFonts w:hint="default"/>
      </w:rPr>
    </w:lvl>
    <w:lvl w:ilvl="1" w:tentative="0">
      <w:start w:val="1"/>
      <w:numFmt w:val="decimal"/>
      <w:lvlText w:val="%2)"/>
      <w:lvlJc w:val="left"/>
      <w:pPr>
        <w:tabs>
          <w:tab w:val="left" w:pos="720"/>
        </w:tabs>
        <w:ind w:left="720" w:hanging="360"/>
      </w:pPr>
      <w:rPr>
        <w:rFonts w:hint="default"/>
      </w:rPr>
    </w:lvl>
    <w:lvl w:ilvl="2" w:tentative="0">
      <w:start w:val="1"/>
      <w:numFmt w:val="lowerRoman"/>
      <w:lvlText w:val="%3)"/>
      <w:lvlJc w:val="left"/>
      <w:pPr>
        <w:tabs>
          <w:tab w:val="left" w:pos="1080"/>
        </w:tabs>
        <w:ind w:left="1080" w:hanging="360"/>
      </w:pPr>
      <w:rPr>
        <w:rFonts w:hint="default"/>
      </w:rPr>
    </w:lvl>
    <w:lvl w:ilvl="3" w:tentative="0">
      <w:start w:val="1"/>
      <w:numFmt w:val="decimal"/>
      <w:lvlText w:val="(%4)"/>
      <w:lvlJc w:val="left"/>
      <w:pPr>
        <w:tabs>
          <w:tab w:val="left" w:pos="1440"/>
        </w:tabs>
        <w:ind w:left="1440" w:hanging="360"/>
      </w:pPr>
      <w:rPr>
        <w:rFonts w:hint="default"/>
      </w:rPr>
    </w:lvl>
    <w:lvl w:ilvl="4" w:tentative="0">
      <w:start w:val="1"/>
      <w:numFmt w:val="lowerLetter"/>
      <w:lvlText w:val="(%5)"/>
      <w:lvlJc w:val="left"/>
      <w:pPr>
        <w:tabs>
          <w:tab w:val="left" w:pos="1800"/>
        </w:tabs>
        <w:ind w:left="1800" w:hanging="360"/>
      </w:pPr>
      <w:rPr>
        <w:rFonts w:hint="default"/>
      </w:rPr>
    </w:lvl>
    <w:lvl w:ilvl="5" w:tentative="0">
      <w:start w:val="1"/>
      <w:numFmt w:val="lowerRoman"/>
      <w:lvlText w:val="(%6)"/>
      <w:lvlJc w:val="left"/>
      <w:pPr>
        <w:tabs>
          <w:tab w:val="left" w:pos="2160"/>
        </w:tabs>
        <w:ind w:left="2160" w:hanging="360"/>
      </w:pPr>
      <w:rPr>
        <w:rFonts w:hint="default"/>
      </w:rPr>
    </w:lvl>
    <w:lvl w:ilvl="6" w:tentative="0">
      <w:start w:val="1"/>
      <w:numFmt w:val="decimal"/>
      <w:lvlText w:val="%7."/>
      <w:lvlJc w:val="left"/>
      <w:pPr>
        <w:tabs>
          <w:tab w:val="left" w:pos="2520"/>
        </w:tabs>
        <w:ind w:left="2520" w:hanging="360"/>
      </w:pPr>
      <w:rPr>
        <w:rFonts w:hint="default"/>
      </w:rPr>
    </w:lvl>
    <w:lvl w:ilvl="7" w:tentative="0">
      <w:start w:val="1"/>
      <w:numFmt w:val="lowerLetter"/>
      <w:lvlText w:val="%8."/>
      <w:lvlJc w:val="left"/>
      <w:pPr>
        <w:tabs>
          <w:tab w:val="left" w:pos="2880"/>
        </w:tabs>
        <w:ind w:left="2880" w:hanging="360"/>
      </w:pPr>
      <w:rPr>
        <w:rFonts w:hint="default"/>
      </w:rPr>
    </w:lvl>
    <w:lvl w:ilvl="8" w:tentative="0">
      <w:start w:val="1"/>
      <w:numFmt w:val="lowerRoman"/>
      <w:lvlText w:val="%9."/>
      <w:lvlJc w:val="left"/>
      <w:pPr>
        <w:tabs>
          <w:tab w:val="left" w:pos="3240"/>
        </w:tabs>
        <w:ind w:left="3240" w:hanging="360"/>
      </w:pPr>
      <w:rPr>
        <w:rFonts w:hint="default"/>
      </w:rPr>
    </w:lvl>
  </w:abstractNum>
  <w:abstractNum w:abstractNumId="11">
    <w:nsid w:val="3CA396CB"/>
    <w:multiLevelType w:val="singleLevel"/>
    <w:tmpl w:val="3CA396CB"/>
    <w:lvl w:ilvl="0" w:tentative="0">
      <w:start w:val="3"/>
      <w:numFmt w:val="upperLetter"/>
      <w:suff w:val="space"/>
      <w:lvlText w:val="%1."/>
      <w:lvlJc w:val="left"/>
    </w:lvl>
  </w:abstractNum>
  <w:abstractNum w:abstractNumId="12">
    <w:nsid w:val="492E4027"/>
    <w:multiLevelType w:val="multilevel"/>
    <w:tmpl w:val="492E4027"/>
    <w:lvl w:ilvl="0" w:tentative="0">
      <w:start w:val="1"/>
      <w:numFmt w:val="lowerLetter"/>
      <w:lvlText w:val="%1)"/>
      <w:lvlJc w:val="left"/>
      <w:pPr>
        <w:tabs>
          <w:tab w:val="left" w:pos="1080"/>
        </w:tabs>
        <w:ind w:left="1080" w:hanging="360"/>
      </w:pPr>
    </w:lvl>
    <w:lvl w:ilvl="1" w:tentative="0">
      <w:start w:val="1"/>
      <w:numFmt w:val="lowerLetter"/>
      <w:lvlText w:val="%2."/>
      <w:lvlJc w:val="left"/>
      <w:pPr>
        <w:tabs>
          <w:tab w:val="left" w:pos="1800"/>
        </w:tabs>
        <w:ind w:left="1800" w:hanging="360"/>
      </w:pPr>
    </w:lvl>
    <w:lvl w:ilvl="2" w:tentative="0">
      <w:start w:val="1"/>
      <w:numFmt w:val="lowerRoman"/>
      <w:lvlText w:val="%3."/>
      <w:lvlJc w:val="right"/>
      <w:pPr>
        <w:tabs>
          <w:tab w:val="left" w:pos="2520"/>
        </w:tabs>
        <w:ind w:left="2520" w:hanging="180"/>
      </w:pPr>
    </w:lvl>
    <w:lvl w:ilvl="3" w:tentative="0">
      <w:start w:val="1"/>
      <w:numFmt w:val="decimal"/>
      <w:lvlText w:val="%4."/>
      <w:lvlJc w:val="left"/>
      <w:pPr>
        <w:tabs>
          <w:tab w:val="left" w:pos="3240"/>
        </w:tabs>
        <w:ind w:left="3240" w:hanging="360"/>
      </w:pPr>
    </w:lvl>
    <w:lvl w:ilvl="4" w:tentative="0">
      <w:start w:val="1"/>
      <w:numFmt w:val="lowerLetter"/>
      <w:lvlText w:val="%5."/>
      <w:lvlJc w:val="left"/>
      <w:pPr>
        <w:tabs>
          <w:tab w:val="left" w:pos="3960"/>
        </w:tabs>
        <w:ind w:left="3960" w:hanging="360"/>
      </w:pPr>
    </w:lvl>
    <w:lvl w:ilvl="5" w:tentative="0">
      <w:start w:val="1"/>
      <w:numFmt w:val="lowerRoman"/>
      <w:lvlText w:val="%6."/>
      <w:lvlJc w:val="right"/>
      <w:pPr>
        <w:tabs>
          <w:tab w:val="left" w:pos="4680"/>
        </w:tabs>
        <w:ind w:left="4680" w:hanging="180"/>
      </w:pPr>
    </w:lvl>
    <w:lvl w:ilvl="6" w:tentative="0">
      <w:start w:val="1"/>
      <w:numFmt w:val="decimal"/>
      <w:lvlText w:val="%7."/>
      <w:lvlJc w:val="left"/>
      <w:pPr>
        <w:tabs>
          <w:tab w:val="left" w:pos="5400"/>
        </w:tabs>
        <w:ind w:left="5400" w:hanging="360"/>
      </w:pPr>
    </w:lvl>
    <w:lvl w:ilvl="7" w:tentative="0">
      <w:start w:val="1"/>
      <w:numFmt w:val="lowerLetter"/>
      <w:lvlText w:val="%8."/>
      <w:lvlJc w:val="left"/>
      <w:pPr>
        <w:tabs>
          <w:tab w:val="left" w:pos="6120"/>
        </w:tabs>
        <w:ind w:left="6120" w:hanging="360"/>
      </w:pPr>
    </w:lvl>
    <w:lvl w:ilvl="8" w:tentative="0">
      <w:start w:val="1"/>
      <w:numFmt w:val="lowerRoman"/>
      <w:lvlText w:val="%9."/>
      <w:lvlJc w:val="right"/>
      <w:pPr>
        <w:tabs>
          <w:tab w:val="left" w:pos="6840"/>
        </w:tabs>
        <w:ind w:left="6840" w:hanging="180"/>
      </w:pPr>
    </w:lvl>
  </w:abstractNum>
  <w:abstractNum w:abstractNumId="13">
    <w:nsid w:val="51AB64E8"/>
    <w:multiLevelType w:val="multilevel"/>
    <w:tmpl w:val="51AB64E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
    <w:nsid w:val="51BF43DF"/>
    <w:multiLevelType w:val="multilevel"/>
    <w:tmpl w:val="51BF43DF"/>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rPr>
        <w:b w:val="0"/>
      </w:r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5">
    <w:nsid w:val="52F833EC"/>
    <w:multiLevelType w:val="multilevel"/>
    <w:tmpl w:val="52F833EC"/>
    <w:lvl w:ilvl="0" w:tentative="0">
      <w:start w:val="1"/>
      <w:numFmt w:val="bullet"/>
      <w:lvlText w:val="•"/>
      <w:lvlJc w:val="left"/>
      <w:pPr>
        <w:ind w:left="1714"/>
      </w:pPr>
      <w:rPr>
        <w:rFonts w:ascii="Arial" w:hAnsi="Arial" w:eastAsia="Arial" w:cs="Arial"/>
        <w:b w:val="0"/>
        <w:i w:val="0"/>
        <w:strike w:val="0"/>
        <w:dstrike w:val="0"/>
        <w:color w:val="000000"/>
        <w:sz w:val="22"/>
        <w:szCs w:val="22"/>
        <w:u w:val="none" w:color="000000"/>
        <w:shd w:val="clear" w:color="auto" w:fill="auto"/>
        <w:vertAlign w:val="baseline"/>
      </w:rPr>
    </w:lvl>
    <w:lvl w:ilvl="1" w:tentative="0">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2" w:tentative="0">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3" w:tentative="0">
      <w:start w:val="1"/>
      <w:numFmt w:val="bullet"/>
      <w:lvlText w:val="•"/>
      <w:lvlJc w:val="left"/>
      <w:pPr>
        <w:ind w:left="2880"/>
      </w:pPr>
      <w:rPr>
        <w:rFonts w:ascii="Arial" w:hAnsi="Arial" w:eastAsia="Arial" w:cs="Arial"/>
        <w:b w:val="0"/>
        <w:i w:val="0"/>
        <w:strike w:val="0"/>
        <w:dstrike w:val="0"/>
        <w:color w:val="000000"/>
        <w:sz w:val="22"/>
        <w:szCs w:val="22"/>
        <w:u w:val="none" w:color="000000"/>
        <w:shd w:val="clear" w:color="auto" w:fill="auto"/>
        <w:vertAlign w:val="baseline"/>
      </w:rPr>
    </w:lvl>
    <w:lvl w:ilvl="4" w:tentative="0">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5" w:tentative="0">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6" w:tentative="0">
      <w:start w:val="1"/>
      <w:numFmt w:val="bullet"/>
      <w:lvlText w:val="•"/>
      <w:lvlJc w:val="left"/>
      <w:pPr>
        <w:ind w:left="5040"/>
      </w:pPr>
      <w:rPr>
        <w:rFonts w:ascii="Arial" w:hAnsi="Arial" w:eastAsia="Arial" w:cs="Arial"/>
        <w:b w:val="0"/>
        <w:i w:val="0"/>
        <w:strike w:val="0"/>
        <w:dstrike w:val="0"/>
        <w:color w:val="000000"/>
        <w:sz w:val="22"/>
        <w:szCs w:val="22"/>
        <w:u w:val="none" w:color="000000"/>
        <w:shd w:val="clear" w:color="auto" w:fill="auto"/>
        <w:vertAlign w:val="baseline"/>
      </w:rPr>
    </w:lvl>
    <w:lvl w:ilvl="7" w:tentative="0">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8" w:tentative="0">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abstractNum>
  <w:abstractNum w:abstractNumId="16">
    <w:nsid w:val="53D839F2"/>
    <w:multiLevelType w:val="multilevel"/>
    <w:tmpl w:val="53D839F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
    <w:nsid w:val="57A6A873"/>
    <w:multiLevelType w:val="singleLevel"/>
    <w:tmpl w:val="57A6A873"/>
    <w:lvl w:ilvl="0" w:tentative="0">
      <w:start w:val="1"/>
      <w:numFmt w:val="bullet"/>
      <w:lvlText w:val=""/>
      <w:lvlJc w:val="left"/>
      <w:pPr>
        <w:tabs>
          <w:tab w:val="left" w:pos="420"/>
        </w:tabs>
        <w:ind w:left="420" w:leftChars="0" w:hanging="420" w:firstLineChars="0"/>
      </w:pPr>
      <w:rPr>
        <w:rFonts w:hint="default" w:ascii="Wingdings" w:hAnsi="Wingdings"/>
        <w:sz w:val="18"/>
        <w:szCs w:val="18"/>
      </w:rPr>
    </w:lvl>
  </w:abstractNum>
  <w:abstractNum w:abstractNumId="18">
    <w:nsid w:val="5AF234CF"/>
    <w:multiLevelType w:val="multilevel"/>
    <w:tmpl w:val="5AF234CF"/>
    <w:lvl w:ilvl="0" w:tentative="0">
      <w:start w:val="1"/>
      <w:numFmt w:val="decimal"/>
      <w:lvlText w:val="%1."/>
      <w:lvlJc w:val="left"/>
      <w:pPr>
        <w:ind w:left="1714"/>
      </w:pPr>
      <w:rPr>
        <w:rFonts w:ascii="Calibri" w:hAnsi="Calibri" w:eastAsia="Calibri" w:cs="Calibri"/>
        <w:b w:val="0"/>
        <w:i w:val="0"/>
        <w:strike w:val="0"/>
        <w:dstrike w:val="0"/>
        <w:color w:val="000000"/>
        <w:sz w:val="22"/>
        <w:szCs w:val="22"/>
        <w:u w:val="none" w:color="000000"/>
        <w:shd w:val="clear" w:color="auto" w:fill="auto"/>
        <w:vertAlign w:val="baseline"/>
      </w:rPr>
    </w:lvl>
    <w:lvl w:ilvl="1" w:tentative="0">
      <w:start w:val="1"/>
      <w:numFmt w:val="bullet"/>
      <w:lvlText w:val="•"/>
      <w:lvlJc w:val="left"/>
      <w:pPr>
        <w:ind w:left="2434"/>
      </w:pPr>
      <w:rPr>
        <w:rFonts w:ascii="Arial" w:hAnsi="Arial" w:eastAsia="Arial" w:cs="Arial"/>
        <w:b w:val="0"/>
        <w:i w:val="0"/>
        <w:strike w:val="0"/>
        <w:dstrike w:val="0"/>
        <w:color w:val="000000"/>
        <w:sz w:val="22"/>
        <w:szCs w:val="22"/>
        <w:u w:val="none" w:color="000000"/>
        <w:shd w:val="clear" w:color="auto" w:fill="auto"/>
        <w:vertAlign w:val="baseline"/>
      </w:rPr>
    </w:lvl>
    <w:lvl w:ilvl="2" w:tentative="0">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3" w:tentative="0">
      <w:start w:val="1"/>
      <w:numFmt w:val="bullet"/>
      <w:lvlText w:val="•"/>
      <w:lvlJc w:val="left"/>
      <w:pPr>
        <w:ind w:left="2880"/>
      </w:pPr>
      <w:rPr>
        <w:rFonts w:ascii="Arial" w:hAnsi="Arial" w:eastAsia="Arial" w:cs="Arial"/>
        <w:b w:val="0"/>
        <w:i w:val="0"/>
        <w:strike w:val="0"/>
        <w:dstrike w:val="0"/>
        <w:color w:val="000000"/>
        <w:sz w:val="22"/>
        <w:szCs w:val="22"/>
        <w:u w:val="none" w:color="000000"/>
        <w:shd w:val="clear" w:color="auto" w:fill="auto"/>
        <w:vertAlign w:val="baseline"/>
      </w:rPr>
    </w:lvl>
    <w:lvl w:ilvl="4" w:tentative="0">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5" w:tentative="0">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6" w:tentative="0">
      <w:start w:val="1"/>
      <w:numFmt w:val="bullet"/>
      <w:lvlText w:val="•"/>
      <w:lvlJc w:val="left"/>
      <w:pPr>
        <w:ind w:left="5040"/>
      </w:pPr>
      <w:rPr>
        <w:rFonts w:ascii="Arial" w:hAnsi="Arial" w:eastAsia="Arial" w:cs="Arial"/>
        <w:b w:val="0"/>
        <w:i w:val="0"/>
        <w:strike w:val="0"/>
        <w:dstrike w:val="0"/>
        <w:color w:val="000000"/>
        <w:sz w:val="22"/>
        <w:szCs w:val="22"/>
        <w:u w:val="none" w:color="000000"/>
        <w:shd w:val="clear" w:color="auto" w:fill="auto"/>
        <w:vertAlign w:val="baseline"/>
      </w:rPr>
    </w:lvl>
    <w:lvl w:ilvl="7" w:tentative="0">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8" w:tentative="0">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abstractNum>
  <w:abstractNum w:abstractNumId="19">
    <w:nsid w:val="5C660A18"/>
    <w:multiLevelType w:val="multilevel"/>
    <w:tmpl w:val="5C660A18"/>
    <w:lvl w:ilvl="0" w:tentative="0">
      <w:start w:val="1"/>
      <w:numFmt w:val="lowerLetter"/>
      <w:lvlText w:val="%1)"/>
      <w:lvlJc w:val="left"/>
      <w:pPr>
        <w:tabs>
          <w:tab w:val="left" w:pos="1080"/>
        </w:tabs>
        <w:ind w:left="1080" w:hanging="360"/>
      </w:pPr>
    </w:lvl>
    <w:lvl w:ilvl="1" w:tentative="0">
      <w:start w:val="1"/>
      <w:numFmt w:val="lowerLetter"/>
      <w:lvlText w:val="%2."/>
      <w:lvlJc w:val="left"/>
      <w:pPr>
        <w:tabs>
          <w:tab w:val="left" w:pos="1800"/>
        </w:tabs>
        <w:ind w:left="1800" w:hanging="360"/>
      </w:pPr>
    </w:lvl>
    <w:lvl w:ilvl="2" w:tentative="0">
      <w:start w:val="1"/>
      <w:numFmt w:val="lowerRoman"/>
      <w:lvlText w:val="%3."/>
      <w:lvlJc w:val="right"/>
      <w:pPr>
        <w:tabs>
          <w:tab w:val="left" w:pos="2520"/>
        </w:tabs>
        <w:ind w:left="2520" w:hanging="180"/>
      </w:pPr>
    </w:lvl>
    <w:lvl w:ilvl="3" w:tentative="0">
      <w:start w:val="1"/>
      <w:numFmt w:val="decimal"/>
      <w:lvlText w:val="%4."/>
      <w:lvlJc w:val="left"/>
      <w:pPr>
        <w:tabs>
          <w:tab w:val="left" w:pos="3240"/>
        </w:tabs>
        <w:ind w:left="3240" w:hanging="360"/>
      </w:pPr>
    </w:lvl>
    <w:lvl w:ilvl="4" w:tentative="0">
      <w:start w:val="1"/>
      <w:numFmt w:val="lowerLetter"/>
      <w:lvlText w:val="%5."/>
      <w:lvlJc w:val="left"/>
      <w:pPr>
        <w:tabs>
          <w:tab w:val="left" w:pos="3960"/>
        </w:tabs>
        <w:ind w:left="3960" w:hanging="360"/>
      </w:pPr>
    </w:lvl>
    <w:lvl w:ilvl="5" w:tentative="0">
      <w:start w:val="1"/>
      <w:numFmt w:val="lowerRoman"/>
      <w:lvlText w:val="%6."/>
      <w:lvlJc w:val="right"/>
      <w:pPr>
        <w:tabs>
          <w:tab w:val="left" w:pos="4680"/>
        </w:tabs>
        <w:ind w:left="4680" w:hanging="180"/>
      </w:pPr>
    </w:lvl>
    <w:lvl w:ilvl="6" w:tentative="0">
      <w:start w:val="1"/>
      <w:numFmt w:val="decimal"/>
      <w:lvlText w:val="%7."/>
      <w:lvlJc w:val="left"/>
      <w:pPr>
        <w:tabs>
          <w:tab w:val="left" w:pos="5400"/>
        </w:tabs>
        <w:ind w:left="5400" w:hanging="360"/>
      </w:pPr>
    </w:lvl>
    <w:lvl w:ilvl="7" w:tentative="0">
      <w:start w:val="1"/>
      <w:numFmt w:val="lowerLetter"/>
      <w:lvlText w:val="%8."/>
      <w:lvlJc w:val="left"/>
      <w:pPr>
        <w:tabs>
          <w:tab w:val="left" w:pos="6120"/>
        </w:tabs>
        <w:ind w:left="6120" w:hanging="360"/>
      </w:pPr>
    </w:lvl>
    <w:lvl w:ilvl="8" w:tentative="0">
      <w:start w:val="1"/>
      <w:numFmt w:val="lowerRoman"/>
      <w:lvlText w:val="%9."/>
      <w:lvlJc w:val="right"/>
      <w:pPr>
        <w:tabs>
          <w:tab w:val="left" w:pos="6840"/>
        </w:tabs>
        <w:ind w:left="6840" w:hanging="180"/>
      </w:pPr>
    </w:lvl>
  </w:abstractNum>
  <w:abstractNum w:abstractNumId="20">
    <w:nsid w:val="5D961133"/>
    <w:multiLevelType w:val="multilevel"/>
    <w:tmpl w:val="5D961133"/>
    <w:lvl w:ilvl="0" w:tentative="0">
      <w:start w:val="1"/>
      <w:numFmt w:val="bullet"/>
      <w:lvlText w:val="•"/>
      <w:lvlJc w:val="left"/>
      <w:pPr>
        <w:ind w:left="1714"/>
      </w:pPr>
      <w:rPr>
        <w:rFonts w:ascii="Arial" w:hAnsi="Arial" w:eastAsia="Arial" w:cs="Arial"/>
        <w:b w:val="0"/>
        <w:i w:val="0"/>
        <w:strike w:val="0"/>
        <w:dstrike w:val="0"/>
        <w:color w:val="000000"/>
        <w:sz w:val="22"/>
        <w:szCs w:val="22"/>
        <w:u w:val="none" w:color="000000"/>
        <w:shd w:val="clear" w:color="auto" w:fill="auto"/>
        <w:vertAlign w:val="baseline"/>
      </w:rPr>
    </w:lvl>
    <w:lvl w:ilvl="1" w:tentative="0">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2" w:tentative="0">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3" w:tentative="0">
      <w:start w:val="1"/>
      <w:numFmt w:val="bullet"/>
      <w:lvlText w:val="•"/>
      <w:lvlJc w:val="left"/>
      <w:pPr>
        <w:ind w:left="2880"/>
      </w:pPr>
      <w:rPr>
        <w:rFonts w:ascii="Arial" w:hAnsi="Arial" w:eastAsia="Arial" w:cs="Arial"/>
        <w:b w:val="0"/>
        <w:i w:val="0"/>
        <w:strike w:val="0"/>
        <w:dstrike w:val="0"/>
        <w:color w:val="000000"/>
        <w:sz w:val="22"/>
        <w:szCs w:val="22"/>
        <w:u w:val="none" w:color="000000"/>
        <w:shd w:val="clear" w:color="auto" w:fill="auto"/>
        <w:vertAlign w:val="baseline"/>
      </w:rPr>
    </w:lvl>
    <w:lvl w:ilvl="4" w:tentative="0">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5" w:tentative="0">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6" w:tentative="0">
      <w:start w:val="1"/>
      <w:numFmt w:val="bullet"/>
      <w:lvlText w:val="•"/>
      <w:lvlJc w:val="left"/>
      <w:pPr>
        <w:ind w:left="5040"/>
      </w:pPr>
      <w:rPr>
        <w:rFonts w:ascii="Arial" w:hAnsi="Arial" w:eastAsia="Arial" w:cs="Arial"/>
        <w:b w:val="0"/>
        <w:i w:val="0"/>
        <w:strike w:val="0"/>
        <w:dstrike w:val="0"/>
        <w:color w:val="000000"/>
        <w:sz w:val="22"/>
        <w:szCs w:val="22"/>
        <w:u w:val="none" w:color="000000"/>
        <w:shd w:val="clear" w:color="auto" w:fill="auto"/>
        <w:vertAlign w:val="baseline"/>
      </w:rPr>
    </w:lvl>
    <w:lvl w:ilvl="7" w:tentative="0">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lvl w:ilvl="8" w:tentative="0">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shd w:val="clear" w:color="auto" w:fill="auto"/>
        <w:vertAlign w:val="baseline"/>
      </w:rPr>
    </w:lvl>
  </w:abstractNum>
  <w:abstractNum w:abstractNumId="21">
    <w:nsid w:val="641D6B0C"/>
    <w:multiLevelType w:val="multilevel"/>
    <w:tmpl w:val="641D6B0C"/>
    <w:lvl w:ilvl="0" w:tentative="0">
      <w:start w:val="1"/>
      <w:numFmt w:val="decimal"/>
      <w:lvlText w:val="%1."/>
      <w:lvlJc w:val="left"/>
      <w:pPr>
        <w:ind w:left="360" w:hanging="360"/>
      </w:pPr>
    </w:lvl>
    <w:lvl w:ilvl="1" w:tentative="0">
      <w:start w:val="1"/>
      <w:numFmt w:val="decimal"/>
      <w:isLgl/>
      <w:lvlText w:val="%1.%2"/>
      <w:lvlJc w:val="left"/>
      <w:pPr>
        <w:ind w:left="360" w:hanging="36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abstractNum w:abstractNumId="22">
    <w:nsid w:val="69D0193D"/>
    <w:multiLevelType w:val="multilevel"/>
    <w:tmpl w:val="69D0193D"/>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23">
    <w:nsid w:val="6BB55BD6"/>
    <w:multiLevelType w:val="multilevel"/>
    <w:tmpl w:val="6BB55BD6"/>
    <w:lvl w:ilvl="0" w:tentative="0">
      <w:start w:val="1"/>
      <w:numFmt w:val="decimal"/>
      <w:lvlText w:val="%1."/>
      <w:lvlJc w:val="left"/>
      <w:pPr>
        <w:ind w:left="360" w:hanging="360"/>
      </w:pPr>
    </w:lvl>
    <w:lvl w:ilvl="1" w:tentative="0">
      <w:start w:val="1"/>
      <w:numFmt w:val="decimal"/>
      <w:isLgl/>
      <w:lvlText w:val="%1.%2"/>
      <w:lvlJc w:val="left"/>
      <w:pPr>
        <w:ind w:left="360" w:hanging="36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abstractNum w:abstractNumId="24">
    <w:nsid w:val="7C692079"/>
    <w:multiLevelType w:val="multilevel"/>
    <w:tmpl w:val="7C692079"/>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Times New Roman"/>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Times New Roman"/>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Times New Roman"/>
      </w:rPr>
    </w:lvl>
    <w:lvl w:ilvl="8" w:tentative="0">
      <w:start w:val="1"/>
      <w:numFmt w:val="bullet"/>
      <w:lvlText w:val=""/>
      <w:lvlJc w:val="left"/>
      <w:pPr>
        <w:ind w:left="6120" w:hanging="360"/>
      </w:pPr>
      <w:rPr>
        <w:rFonts w:hint="default" w:ascii="Wingdings" w:hAnsi="Wingdings"/>
      </w:rPr>
    </w:lvl>
  </w:abstractNum>
  <w:abstractNum w:abstractNumId="25">
    <w:nsid w:val="7DB5533F"/>
    <w:multiLevelType w:val="multilevel"/>
    <w:tmpl w:val="7DB5533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6">
    <w:nsid w:val="7E8206F9"/>
    <w:multiLevelType w:val="multilevel"/>
    <w:tmpl w:val="7E8206F9"/>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num w:numId="1">
    <w:abstractNumId w:val="10"/>
  </w:num>
  <w:num w:numId="2">
    <w:abstractNumId w:val="1"/>
  </w:num>
  <w:num w:numId="3">
    <w:abstractNumId w:val="0"/>
  </w:num>
  <w:num w:numId="4">
    <w:abstractNumId w:val="21"/>
  </w:num>
  <w:num w:numId="5">
    <w:abstractNumId w:val="26"/>
  </w:num>
  <w:num w:numId="6">
    <w:abstractNumId w:val="5"/>
  </w:num>
  <w:num w:numId="7">
    <w:abstractNumId w:val="7"/>
  </w:num>
  <w:num w:numId="8">
    <w:abstractNumId w:val="9"/>
  </w:num>
  <w:num w:numId="9">
    <w:abstractNumId w:val="17"/>
  </w:num>
  <w:num w:numId="10">
    <w:abstractNumId w:val="11"/>
  </w:num>
  <w:num w:numId="11">
    <w:abstractNumId w:val="3"/>
  </w:num>
  <w:num w:numId="12">
    <w:abstractNumId w:val="16"/>
  </w:num>
  <w:num w:numId="13">
    <w:abstractNumId w:val="4"/>
  </w:num>
  <w:num w:numId="14">
    <w:abstractNumId w:val="13"/>
  </w:num>
  <w:num w:numId="15">
    <w:abstractNumId w:val="14"/>
  </w:num>
  <w:num w:numId="16">
    <w:abstractNumId w:val="12"/>
  </w:num>
  <w:num w:numId="17">
    <w:abstractNumId w:val="19"/>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2"/>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num>
  <w:num w:numId="22">
    <w:abstractNumId w:val="25"/>
  </w:num>
  <w:num w:numId="23">
    <w:abstractNumId w:val="6"/>
  </w:num>
  <w:num w:numId="24">
    <w:abstractNumId w:val="15"/>
  </w:num>
  <w:num w:numId="25">
    <w:abstractNumId w:val="20"/>
  </w:num>
  <w:num w:numId="26">
    <w:abstractNumId w:val="8"/>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E68"/>
    <w:rsid w:val="00000753"/>
    <w:rsid w:val="0000195D"/>
    <w:rsid w:val="00002050"/>
    <w:rsid w:val="000035DC"/>
    <w:rsid w:val="0000442F"/>
    <w:rsid w:val="00007208"/>
    <w:rsid w:val="00007BC3"/>
    <w:rsid w:val="00012BFF"/>
    <w:rsid w:val="0001550D"/>
    <w:rsid w:val="00016237"/>
    <w:rsid w:val="00024B90"/>
    <w:rsid w:val="00025E1E"/>
    <w:rsid w:val="000264F8"/>
    <w:rsid w:val="00026E65"/>
    <w:rsid w:val="000276E6"/>
    <w:rsid w:val="000277C2"/>
    <w:rsid w:val="00031DA1"/>
    <w:rsid w:val="000333B4"/>
    <w:rsid w:val="0003356F"/>
    <w:rsid w:val="00034382"/>
    <w:rsid w:val="00034CDB"/>
    <w:rsid w:val="00035CC7"/>
    <w:rsid w:val="0004252A"/>
    <w:rsid w:val="000433D0"/>
    <w:rsid w:val="000434AA"/>
    <w:rsid w:val="00043A4B"/>
    <w:rsid w:val="00043E2E"/>
    <w:rsid w:val="0004426B"/>
    <w:rsid w:val="000446D9"/>
    <w:rsid w:val="00044A59"/>
    <w:rsid w:val="00044C7D"/>
    <w:rsid w:val="00045CA2"/>
    <w:rsid w:val="000466E8"/>
    <w:rsid w:val="000518F1"/>
    <w:rsid w:val="00052BA8"/>
    <w:rsid w:val="000543CA"/>
    <w:rsid w:val="0005444B"/>
    <w:rsid w:val="000557E4"/>
    <w:rsid w:val="00055D00"/>
    <w:rsid w:val="000568F7"/>
    <w:rsid w:val="00056F82"/>
    <w:rsid w:val="00060E08"/>
    <w:rsid w:val="00061C99"/>
    <w:rsid w:val="000621C5"/>
    <w:rsid w:val="00063710"/>
    <w:rsid w:val="00063F83"/>
    <w:rsid w:val="000654E2"/>
    <w:rsid w:val="00065ED8"/>
    <w:rsid w:val="000673A3"/>
    <w:rsid w:val="00070EBF"/>
    <w:rsid w:val="000718D1"/>
    <w:rsid w:val="00072221"/>
    <w:rsid w:val="0007267F"/>
    <w:rsid w:val="00072EA7"/>
    <w:rsid w:val="000746B7"/>
    <w:rsid w:val="00075466"/>
    <w:rsid w:val="00075CAC"/>
    <w:rsid w:val="00077EEA"/>
    <w:rsid w:val="00080001"/>
    <w:rsid w:val="00082FEA"/>
    <w:rsid w:val="00084B27"/>
    <w:rsid w:val="000865F6"/>
    <w:rsid w:val="00087041"/>
    <w:rsid w:val="00087891"/>
    <w:rsid w:val="000911A2"/>
    <w:rsid w:val="000918CC"/>
    <w:rsid w:val="00092F94"/>
    <w:rsid w:val="00094E58"/>
    <w:rsid w:val="00097AD3"/>
    <w:rsid w:val="000A08EB"/>
    <w:rsid w:val="000A1924"/>
    <w:rsid w:val="000A36DA"/>
    <w:rsid w:val="000A47F7"/>
    <w:rsid w:val="000A5FB2"/>
    <w:rsid w:val="000A641D"/>
    <w:rsid w:val="000A7F90"/>
    <w:rsid w:val="000B0AF0"/>
    <w:rsid w:val="000B2663"/>
    <w:rsid w:val="000B52D5"/>
    <w:rsid w:val="000B5D7B"/>
    <w:rsid w:val="000B6FF1"/>
    <w:rsid w:val="000B7B6B"/>
    <w:rsid w:val="000B7BFA"/>
    <w:rsid w:val="000B7D01"/>
    <w:rsid w:val="000B7E68"/>
    <w:rsid w:val="000C014D"/>
    <w:rsid w:val="000C0723"/>
    <w:rsid w:val="000C0D1C"/>
    <w:rsid w:val="000C0F99"/>
    <w:rsid w:val="000C1614"/>
    <w:rsid w:val="000C4653"/>
    <w:rsid w:val="000C4F31"/>
    <w:rsid w:val="000C5A3A"/>
    <w:rsid w:val="000C6650"/>
    <w:rsid w:val="000C6859"/>
    <w:rsid w:val="000C6EA7"/>
    <w:rsid w:val="000C70EE"/>
    <w:rsid w:val="000D06AC"/>
    <w:rsid w:val="000D1C97"/>
    <w:rsid w:val="000D2711"/>
    <w:rsid w:val="000D4679"/>
    <w:rsid w:val="000D50EB"/>
    <w:rsid w:val="000D5334"/>
    <w:rsid w:val="000D6BC8"/>
    <w:rsid w:val="000D778E"/>
    <w:rsid w:val="000D77F0"/>
    <w:rsid w:val="000E236D"/>
    <w:rsid w:val="000E3B96"/>
    <w:rsid w:val="000E416E"/>
    <w:rsid w:val="000E4669"/>
    <w:rsid w:val="000E51AF"/>
    <w:rsid w:val="000E582D"/>
    <w:rsid w:val="000E5EA5"/>
    <w:rsid w:val="000E631D"/>
    <w:rsid w:val="000F0FED"/>
    <w:rsid w:val="000F48BA"/>
    <w:rsid w:val="000F57FB"/>
    <w:rsid w:val="000F5CEA"/>
    <w:rsid w:val="000F749F"/>
    <w:rsid w:val="000F7CEA"/>
    <w:rsid w:val="0010459D"/>
    <w:rsid w:val="001048C0"/>
    <w:rsid w:val="00104B9B"/>
    <w:rsid w:val="00105E85"/>
    <w:rsid w:val="001062DA"/>
    <w:rsid w:val="00106838"/>
    <w:rsid w:val="00106D28"/>
    <w:rsid w:val="001070EE"/>
    <w:rsid w:val="00107713"/>
    <w:rsid w:val="00110366"/>
    <w:rsid w:val="00110948"/>
    <w:rsid w:val="001124AB"/>
    <w:rsid w:val="001125F5"/>
    <w:rsid w:val="00112F52"/>
    <w:rsid w:val="001149F7"/>
    <w:rsid w:val="0011519F"/>
    <w:rsid w:val="00115F70"/>
    <w:rsid w:val="00115FD6"/>
    <w:rsid w:val="001160D1"/>
    <w:rsid w:val="0012296B"/>
    <w:rsid w:val="00122A7A"/>
    <w:rsid w:val="00122EE7"/>
    <w:rsid w:val="001240E9"/>
    <w:rsid w:val="001272DA"/>
    <w:rsid w:val="00135731"/>
    <w:rsid w:val="001361D5"/>
    <w:rsid w:val="00136B4F"/>
    <w:rsid w:val="001429B4"/>
    <w:rsid w:val="00142F6F"/>
    <w:rsid w:val="00143F1D"/>
    <w:rsid w:val="00143FCF"/>
    <w:rsid w:val="00146604"/>
    <w:rsid w:val="00147EAD"/>
    <w:rsid w:val="00151DD1"/>
    <w:rsid w:val="00152B37"/>
    <w:rsid w:val="00155696"/>
    <w:rsid w:val="00156360"/>
    <w:rsid w:val="00156A77"/>
    <w:rsid w:val="00160430"/>
    <w:rsid w:val="00164577"/>
    <w:rsid w:val="00165F72"/>
    <w:rsid w:val="00166AE1"/>
    <w:rsid w:val="0016757A"/>
    <w:rsid w:val="00172505"/>
    <w:rsid w:val="00173846"/>
    <w:rsid w:val="001738C7"/>
    <w:rsid w:val="001758AA"/>
    <w:rsid w:val="00176A4A"/>
    <w:rsid w:val="00177B08"/>
    <w:rsid w:val="001803E0"/>
    <w:rsid w:val="00180AB7"/>
    <w:rsid w:val="00183CD2"/>
    <w:rsid w:val="0018507C"/>
    <w:rsid w:val="00185EF2"/>
    <w:rsid w:val="00186D02"/>
    <w:rsid w:val="0019023B"/>
    <w:rsid w:val="00190851"/>
    <w:rsid w:val="00190B06"/>
    <w:rsid w:val="00191B2B"/>
    <w:rsid w:val="00193E04"/>
    <w:rsid w:val="00194A7C"/>
    <w:rsid w:val="00194C4B"/>
    <w:rsid w:val="00194E43"/>
    <w:rsid w:val="001958ED"/>
    <w:rsid w:val="00195CCB"/>
    <w:rsid w:val="001A084C"/>
    <w:rsid w:val="001A1AA4"/>
    <w:rsid w:val="001A3FE4"/>
    <w:rsid w:val="001A47F9"/>
    <w:rsid w:val="001A51D4"/>
    <w:rsid w:val="001A6B1B"/>
    <w:rsid w:val="001A6FD8"/>
    <w:rsid w:val="001B028B"/>
    <w:rsid w:val="001B0EA8"/>
    <w:rsid w:val="001B12A8"/>
    <w:rsid w:val="001B1364"/>
    <w:rsid w:val="001B42A4"/>
    <w:rsid w:val="001B44FC"/>
    <w:rsid w:val="001B4617"/>
    <w:rsid w:val="001B7974"/>
    <w:rsid w:val="001C22F4"/>
    <w:rsid w:val="001C26D1"/>
    <w:rsid w:val="001C2BE8"/>
    <w:rsid w:val="001C31D4"/>
    <w:rsid w:val="001C42FC"/>
    <w:rsid w:val="001C4F49"/>
    <w:rsid w:val="001C5B98"/>
    <w:rsid w:val="001C62CD"/>
    <w:rsid w:val="001D03F3"/>
    <w:rsid w:val="001D2E75"/>
    <w:rsid w:val="001D4991"/>
    <w:rsid w:val="001D63C2"/>
    <w:rsid w:val="001E1A19"/>
    <w:rsid w:val="001E2FED"/>
    <w:rsid w:val="001E3655"/>
    <w:rsid w:val="001E440E"/>
    <w:rsid w:val="001E45B2"/>
    <w:rsid w:val="001E4C1E"/>
    <w:rsid w:val="001E5451"/>
    <w:rsid w:val="001E780D"/>
    <w:rsid w:val="001F0D5A"/>
    <w:rsid w:val="001F1ED9"/>
    <w:rsid w:val="001F25F7"/>
    <w:rsid w:val="001F480C"/>
    <w:rsid w:val="001F652A"/>
    <w:rsid w:val="001F750A"/>
    <w:rsid w:val="001F7744"/>
    <w:rsid w:val="00203117"/>
    <w:rsid w:val="00203212"/>
    <w:rsid w:val="00203B85"/>
    <w:rsid w:val="00204393"/>
    <w:rsid w:val="0020453C"/>
    <w:rsid w:val="002047BD"/>
    <w:rsid w:val="002058EF"/>
    <w:rsid w:val="00206FFF"/>
    <w:rsid w:val="00207155"/>
    <w:rsid w:val="00207F8C"/>
    <w:rsid w:val="00212DCE"/>
    <w:rsid w:val="00214A45"/>
    <w:rsid w:val="00215056"/>
    <w:rsid w:val="00217CB0"/>
    <w:rsid w:val="0022203A"/>
    <w:rsid w:val="00223557"/>
    <w:rsid w:val="002238C3"/>
    <w:rsid w:val="00224061"/>
    <w:rsid w:val="00224CFE"/>
    <w:rsid w:val="00224E4D"/>
    <w:rsid w:val="00226078"/>
    <w:rsid w:val="002268C2"/>
    <w:rsid w:val="00227D11"/>
    <w:rsid w:val="002310D9"/>
    <w:rsid w:val="002327B7"/>
    <w:rsid w:val="00234EC9"/>
    <w:rsid w:val="002361D8"/>
    <w:rsid w:val="002412D3"/>
    <w:rsid w:val="00241F3A"/>
    <w:rsid w:val="00243839"/>
    <w:rsid w:val="002470EC"/>
    <w:rsid w:val="002474D0"/>
    <w:rsid w:val="00247FEC"/>
    <w:rsid w:val="002502F6"/>
    <w:rsid w:val="0025051C"/>
    <w:rsid w:val="00251C55"/>
    <w:rsid w:val="0025449B"/>
    <w:rsid w:val="00255571"/>
    <w:rsid w:val="002572A9"/>
    <w:rsid w:val="0025766C"/>
    <w:rsid w:val="00257943"/>
    <w:rsid w:val="002612F7"/>
    <w:rsid w:val="002623AD"/>
    <w:rsid w:val="002643CC"/>
    <w:rsid w:val="002646FC"/>
    <w:rsid w:val="00271D9F"/>
    <w:rsid w:val="00274944"/>
    <w:rsid w:val="00274F41"/>
    <w:rsid w:val="002763DF"/>
    <w:rsid w:val="002766FB"/>
    <w:rsid w:val="0027693C"/>
    <w:rsid w:val="00280342"/>
    <w:rsid w:val="0028408F"/>
    <w:rsid w:val="00284B67"/>
    <w:rsid w:val="00286203"/>
    <w:rsid w:val="00291660"/>
    <w:rsid w:val="00293796"/>
    <w:rsid w:val="00293964"/>
    <w:rsid w:val="002956A1"/>
    <w:rsid w:val="00297FDC"/>
    <w:rsid w:val="002A0F12"/>
    <w:rsid w:val="002A15E5"/>
    <w:rsid w:val="002A1837"/>
    <w:rsid w:val="002A253A"/>
    <w:rsid w:val="002A5463"/>
    <w:rsid w:val="002A5AE1"/>
    <w:rsid w:val="002A6413"/>
    <w:rsid w:val="002B4015"/>
    <w:rsid w:val="002B48B6"/>
    <w:rsid w:val="002B77D1"/>
    <w:rsid w:val="002B7AA2"/>
    <w:rsid w:val="002C3B4E"/>
    <w:rsid w:val="002C516B"/>
    <w:rsid w:val="002C65EA"/>
    <w:rsid w:val="002D1232"/>
    <w:rsid w:val="002D123F"/>
    <w:rsid w:val="002D1465"/>
    <w:rsid w:val="002D1E48"/>
    <w:rsid w:val="002D441D"/>
    <w:rsid w:val="002D6DD4"/>
    <w:rsid w:val="002D7E06"/>
    <w:rsid w:val="002E181E"/>
    <w:rsid w:val="002E26A9"/>
    <w:rsid w:val="002E5A05"/>
    <w:rsid w:val="002F15EF"/>
    <w:rsid w:val="002F2547"/>
    <w:rsid w:val="002F3080"/>
    <w:rsid w:val="002F4C9C"/>
    <w:rsid w:val="002F4EC3"/>
    <w:rsid w:val="002F519E"/>
    <w:rsid w:val="002F594D"/>
    <w:rsid w:val="002F624B"/>
    <w:rsid w:val="002F6395"/>
    <w:rsid w:val="002F789B"/>
    <w:rsid w:val="00301768"/>
    <w:rsid w:val="00302543"/>
    <w:rsid w:val="00302801"/>
    <w:rsid w:val="00303195"/>
    <w:rsid w:val="00303298"/>
    <w:rsid w:val="00303C36"/>
    <w:rsid w:val="00304B94"/>
    <w:rsid w:val="00304FD2"/>
    <w:rsid w:val="003057EB"/>
    <w:rsid w:val="003060F2"/>
    <w:rsid w:val="00307FC6"/>
    <w:rsid w:val="00314637"/>
    <w:rsid w:val="003148B1"/>
    <w:rsid w:val="0031710D"/>
    <w:rsid w:val="00317592"/>
    <w:rsid w:val="003178F1"/>
    <w:rsid w:val="00321CDF"/>
    <w:rsid w:val="00322CAF"/>
    <w:rsid w:val="00325D24"/>
    <w:rsid w:val="003274EE"/>
    <w:rsid w:val="00327AC6"/>
    <w:rsid w:val="00330C73"/>
    <w:rsid w:val="003312A1"/>
    <w:rsid w:val="003327FD"/>
    <w:rsid w:val="00333929"/>
    <w:rsid w:val="003345F4"/>
    <w:rsid w:val="0033564F"/>
    <w:rsid w:val="00335CC3"/>
    <w:rsid w:val="00336B52"/>
    <w:rsid w:val="003421BA"/>
    <w:rsid w:val="00344168"/>
    <w:rsid w:val="00344395"/>
    <w:rsid w:val="00345523"/>
    <w:rsid w:val="003459ED"/>
    <w:rsid w:val="00346C08"/>
    <w:rsid w:val="0034706A"/>
    <w:rsid w:val="00347073"/>
    <w:rsid w:val="003508EC"/>
    <w:rsid w:val="003515D9"/>
    <w:rsid w:val="00351D9C"/>
    <w:rsid w:val="00352B17"/>
    <w:rsid w:val="003536C9"/>
    <w:rsid w:val="003537D7"/>
    <w:rsid w:val="003549E7"/>
    <w:rsid w:val="0035673B"/>
    <w:rsid w:val="003615C5"/>
    <w:rsid w:val="00363FB7"/>
    <w:rsid w:val="003646E7"/>
    <w:rsid w:val="00370231"/>
    <w:rsid w:val="0037092C"/>
    <w:rsid w:val="00373D3B"/>
    <w:rsid w:val="00376EA5"/>
    <w:rsid w:val="003836AC"/>
    <w:rsid w:val="0038372A"/>
    <w:rsid w:val="00383F63"/>
    <w:rsid w:val="003859D2"/>
    <w:rsid w:val="00386E5D"/>
    <w:rsid w:val="00386FE4"/>
    <w:rsid w:val="00387775"/>
    <w:rsid w:val="0039068E"/>
    <w:rsid w:val="00390970"/>
    <w:rsid w:val="00391560"/>
    <w:rsid w:val="00391F43"/>
    <w:rsid w:val="00393781"/>
    <w:rsid w:val="00393967"/>
    <w:rsid w:val="00394598"/>
    <w:rsid w:val="003947D6"/>
    <w:rsid w:val="00395E7E"/>
    <w:rsid w:val="003A06C3"/>
    <w:rsid w:val="003A0EEF"/>
    <w:rsid w:val="003A2D7A"/>
    <w:rsid w:val="003A2E94"/>
    <w:rsid w:val="003A3533"/>
    <w:rsid w:val="003A5CE9"/>
    <w:rsid w:val="003A67AF"/>
    <w:rsid w:val="003A6C82"/>
    <w:rsid w:val="003B1FE3"/>
    <w:rsid w:val="003B2FF6"/>
    <w:rsid w:val="003B53A2"/>
    <w:rsid w:val="003B6234"/>
    <w:rsid w:val="003B7507"/>
    <w:rsid w:val="003B7D2E"/>
    <w:rsid w:val="003C12C7"/>
    <w:rsid w:val="003C2759"/>
    <w:rsid w:val="003C3CD8"/>
    <w:rsid w:val="003C7026"/>
    <w:rsid w:val="003D4701"/>
    <w:rsid w:val="003D4BD8"/>
    <w:rsid w:val="003D4DD9"/>
    <w:rsid w:val="003D5732"/>
    <w:rsid w:val="003D6EA4"/>
    <w:rsid w:val="003E2CDA"/>
    <w:rsid w:val="003E5EA6"/>
    <w:rsid w:val="003E70FB"/>
    <w:rsid w:val="003E7222"/>
    <w:rsid w:val="003F01BD"/>
    <w:rsid w:val="003F2A57"/>
    <w:rsid w:val="003F374B"/>
    <w:rsid w:val="003F3D76"/>
    <w:rsid w:val="0040025B"/>
    <w:rsid w:val="00401BD6"/>
    <w:rsid w:val="004047B5"/>
    <w:rsid w:val="00405524"/>
    <w:rsid w:val="004078CE"/>
    <w:rsid w:val="0041052E"/>
    <w:rsid w:val="00410A05"/>
    <w:rsid w:val="00410C8A"/>
    <w:rsid w:val="00413EE3"/>
    <w:rsid w:val="00425C2E"/>
    <w:rsid w:val="004260C9"/>
    <w:rsid w:val="00426203"/>
    <w:rsid w:val="00426995"/>
    <w:rsid w:val="00432B5C"/>
    <w:rsid w:val="004345D6"/>
    <w:rsid w:val="0043530B"/>
    <w:rsid w:val="00435C46"/>
    <w:rsid w:val="00435DF2"/>
    <w:rsid w:val="0043680B"/>
    <w:rsid w:val="00444748"/>
    <w:rsid w:val="00444BDD"/>
    <w:rsid w:val="00446117"/>
    <w:rsid w:val="004474F2"/>
    <w:rsid w:val="00450283"/>
    <w:rsid w:val="00452AAF"/>
    <w:rsid w:val="00453C38"/>
    <w:rsid w:val="00454A9E"/>
    <w:rsid w:val="00457084"/>
    <w:rsid w:val="00457AA4"/>
    <w:rsid w:val="0046057A"/>
    <w:rsid w:val="00461B22"/>
    <w:rsid w:val="004628DF"/>
    <w:rsid w:val="00470E8B"/>
    <w:rsid w:val="00472866"/>
    <w:rsid w:val="004728E3"/>
    <w:rsid w:val="00472B0F"/>
    <w:rsid w:val="004734D0"/>
    <w:rsid w:val="0047580D"/>
    <w:rsid w:val="00476822"/>
    <w:rsid w:val="00480D7E"/>
    <w:rsid w:val="00480FDB"/>
    <w:rsid w:val="00481DF3"/>
    <w:rsid w:val="004821B8"/>
    <w:rsid w:val="00484FD0"/>
    <w:rsid w:val="00485BBB"/>
    <w:rsid w:val="004872E0"/>
    <w:rsid w:val="0049088E"/>
    <w:rsid w:val="00494343"/>
    <w:rsid w:val="00494E89"/>
    <w:rsid w:val="004959C5"/>
    <w:rsid w:val="00495DE4"/>
    <w:rsid w:val="00497189"/>
    <w:rsid w:val="004A0335"/>
    <w:rsid w:val="004A1858"/>
    <w:rsid w:val="004A3EF2"/>
    <w:rsid w:val="004A48BC"/>
    <w:rsid w:val="004A6488"/>
    <w:rsid w:val="004B0B17"/>
    <w:rsid w:val="004B1122"/>
    <w:rsid w:val="004B1729"/>
    <w:rsid w:val="004B1A2F"/>
    <w:rsid w:val="004B1BD7"/>
    <w:rsid w:val="004B4009"/>
    <w:rsid w:val="004B4887"/>
    <w:rsid w:val="004B672E"/>
    <w:rsid w:val="004C16D1"/>
    <w:rsid w:val="004C2D1C"/>
    <w:rsid w:val="004C6C87"/>
    <w:rsid w:val="004C7ADF"/>
    <w:rsid w:val="004C7DE3"/>
    <w:rsid w:val="004D3313"/>
    <w:rsid w:val="004D3F56"/>
    <w:rsid w:val="004D425D"/>
    <w:rsid w:val="004D5E94"/>
    <w:rsid w:val="004D697F"/>
    <w:rsid w:val="004E067A"/>
    <w:rsid w:val="004E18EE"/>
    <w:rsid w:val="004E19D6"/>
    <w:rsid w:val="004E3252"/>
    <w:rsid w:val="004E34B4"/>
    <w:rsid w:val="004E3C08"/>
    <w:rsid w:val="004E45BB"/>
    <w:rsid w:val="004E6311"/>
    <w:rsid w:val="004E7396"/>
    <w:rsid w:val="004F1CDA"/>
    <w:rsid w:val="004F2AAC"/>
    <w:rsid w:val="004F52E4"/>
    <w:rsid w:val="004F7336"/>
    <w:rsid w:val="004F7409"/>
    <w:rsid w:val="004F7D1E"/>
    <w:rsid w:val="00500DBC"/>
    <w:rsid w:val="00501474"/>
    <w:rsid w:val="00502BAE"/>
    <w:rsid w:val="00502DE8"/>
    <w:rsid w:val="005038A1"/>
    <w:rsid w:val="005051B1"/>
    <w:rsid w:val="00505269"/>
    <w:rsid w:val="00505DA6"/>
    <w:rsid w:val="005074F7"/>
    <w:rsid w:val="00507629"/>
    <w:rsid w:val="00510C82"/>
    <w:rsid w:val="00512255"/>
    <w:rsid w:val="00515913"/>
    <w:rsid w:val="0051712E"/>
    <w:rsid w:val="00521674"/>
    <w:rsid w:val="00525736"/>
    <w:rsid w:val="00525B31"/>
    <w:rsid w:val="00526C9B"/>
    <w:rsid w:val="00527DD4"/>
    <w:rsid w:val="0053361F"/>
    <w:rsid w:val="005338A0"/>
    <w:rsid w:val="00536A6B"/>
    <w:rsid w:val="00536CDE"/>
    <w:rsid w:val="00537B87"/>
    <w:rsid w:val="005408E7"/>
    <w:rsid w:val="00540CEC"/>
    <w:rsid w:val="0054364E"/>
    <w:rsid w:val="005438F2"/>
    <w:rsid w:val="00543BFF"/>
    <w:rsid w:val="00543FE9"/>
    <w:rsid w:val="0054575D"/>
    <w:rsid w:val="00545B64"/>
    <w:rsid w:val="0054661D"/>
    <w:rsid w:val="0054714E"/>
    <w:rsid w:val="00551265"/>
    <w:rsid w:val="00552155"/>
    <w:rsid w:val="00553BBB"/>
    <w:rsid w:val="00554392"/>
    <w:rsid w:val="005547E5"/>
    <w:rsid w:val="00554F72"/>
    <w:rsid w:val="0055597C"/>
    <w:rsid w:val="005560CA"/>
    <w:rsid w:val="00557E5D"/>
    <w:rsid w:val="005604C3"/>
    <w:rsid w:val="00560BD9"/>
    <w:rsid w:val="00560D1A"/>
    <w:rsid w:val="00563401"/>
    <w:rsid w:val="00564B77"/>
    <w:rsid w:val="00565945"/>
    <w:rsid w:val="00567A5C"/>
    <w:rsid w:val="00571FC2"/>
    <w:rsid w:val="00575D57"/>
    <w:rsid w:val="00576329"/>
    <w:rsid w:val="0057681F"/>
    <w:rsid w:val="00577AFF"/>
    <w:rsid w:val="0058176F"/>
    <w:rsid w:val="00582156"/>
    <w:rsid w:val="00582317"/>
    <w:rsid w:val="00583F6B"/>
    <w:rsid w:val="00586088"/>
    <w:rsid w:val="005868CC"/>
    <w:rsid w:val="00592B21"/>
    <w:rsid w:val="005941E0"/>
    <w:rsid w:val="00596710"/>
    <w:rsid w:val="005978EF"/>
    <w:rsid w:val="005A2E1B"/>
    <w:rsid w:val="005B0645"/>
    <w:rsid w:val="005B2BA6"/>
    <w:rsid w:val="005B2F11"/>
    <w:rsid w:val="005B315D"/>
    <w:rsid w:val="005B3C95"/>
    <w:rsid w:val="005B487E"/>
    <w:rsid w:val="005B4E75"/>
    <w:rsid w:val="005B59B0"/>
    <w:rsid w:val="005B62E7"/>
    <w:rsid w:val="005B6704"/>
    <w:rsid w:val="005B789D"/>
    <w:rsid w:val="005B79ED"/>
    <w:rsid w:val="005C0579"/>
    <w:rsid w:val="005C1FAB"/>
    <w:rsid w:val="005C3413"/>
    <w:rsid w:val="005C356E"/>
    <w:rsid w:val="005C4591"/>
    <w:rsid w:val="005C56FB"/>
    <w:rsid w:val="005D06FE"/>
    <w:rsid w:val="005D08E2"/>
    <w:rsid w:val="005D0D2A"/>
    <w:rsid w:val="005D0E20"/>
    <w:rsid w:val="005D10F6"/>
    <w:rsid w:val="005D4245"/>
    <w:rsid w:val="005DD63C"/>
    <w:rsid w:val="005E0A33"/>
    <w:rsid w:val="005E1D9E"/>
    <w:rsid w:val="005E20F6"/>
    <w:rsid w:val="005E2A26"/>
    <w:rsid w:val="005E37D3"/>
    <w:rsid w:val="005E4DAD"/>
    <w:rsid w:val="005F1AAC"/>
    <w:rsid w:val="005F26FD"/>
    <w:rsid w:val="005F2A07"/>
    <w:rsid w:val="005F3B7F"/>
    <w:rsid w:val="005F3C14"/>
    <w:rsid w:val="005F53F4"/>
    <w:rsid w:val="005F5500"/>
    <w:rsid w:val="005F6191"/>
    <w:rsid w:val="0060064F"/>
    <w:rsid w:val="006015CD"/>
    <w:rsid w:val="00604A7E"/>
    <w:rsid w:val="00604DA0"/>
    <w:rsid w:val="00605BFF"/>
    <w:rsid w:val="00606ABE"/>
    <w:rsid w:val="0061127B"/>
    <w:rsid w:val="006133BF"/>
    <w:rsid w:val="00615035"/>
    <w:rsid w:val="0061652C"/>
    <w:rsid w:val="006177A1"/>
    <w:rsid w:val="00621254"/>
    <w:rsid w:val="006214F7"/>
    <w:rsid w:val="00621851"/>
    <w:rsid w:val="00621ADB"/>
    <w:rsid w:val="00622A2C"/>
    <w:rsid w:val="00624813"/>
    <w:rsid w:val="00626ADB"/>
    <w:rsid w:val="0063182D"/>
    <w:rsid w:val="00633FF7"/>
    <w:rsid w:val="00634BE8"/>
    <w:rsid w:val="00636DF3"/>
    <w:rsid w:val="00637B3E"/>
    <w:rsid w:val="0064227A"/>
    <w:rsid w:val="00642D29"/>
    <w:rsid w:val="00644834"/>
    <w:rsid w:val="0064679A"/>
    <w:rsid w:val="006523D7"/>
    <w:rsid w:val="00652FA9"/>
    <w:rsid w:val="00653735"/>
    <w:rsid w:val="00657796"/>
    <w:rsid w:val="00657997"/>
    <w:rsid w:val="0066115D"/>
    <w:rsid w:val="006618B8"/>
    <w:rsid w:val="00663131"/>
    <w:rsid w:val="0066337B"/>
    <w:rsid w:val="006635FD"/>
    <w:rsid w:val="006638C8"/>
    <w:rsid w:val="00663A16"/>
    <w:rsid w:val="00664F28"/>
    <w:rsid w:val="00670658"/>
    <w:rsid w:val="00671263"/>
    <w:rsid w:val="006731ED"/>
    <w:rsid w:val="00673B41"/>
    <w:rsid w:val="00682EC0"/>
    <w:rsid w:val="00686AF6"/>
    <w:rsid w:val="00690E5D"/>
    <w:rsid w:val="006949FB"/>
    <w:rsid w:val="00696508"/>
    <w:rsid w:val="00697054"/>
    <w:rsid w:val="006B0673"/>
    <w:rsid w:val="006B079D"/>
    <w:rsid w:val="006B1582"/>
    <w:rsid w:val="006B1A9B"/>
    <w:rsid w:val="006B2FE4"/>
    <w:rsid w:val="006B4AC7"/>
    <w:rsid w:val="006B7777"/>
    <w:rsid w:val="006C0071"/>
    <w:rsid w:val="006C131E"/>
    <w:rsid w:val="006C192B"/>
    <w:rsid w:val="006C1B7A"/>
    <w:rsid w:val="006C39F1"/>
    <w:rsid w:val="006C449D"/>
    <w:rsid w:val="006C4FD6"/>
    <w:rsid w:val="006D1025"/>
    <w:rsid w:val="006D3BEC"/>
    <w:rsid w:val="006D55FE"/>
    <w:rsid w:val="006E0814"/>
    <w:rsid w:val="006E3020"/>
    <w:rsid w:val="006E5506"/>
    <w:rsid w:val="006E5AD3"/>
    <w:rsid w:val="006E6F80"/>
    <w:rsid w:val="006E7B07"/>
    <w:rsid w:val="006E7E0C"/>
    <w:rsid w:val="006F48AB"/>
    <w:rsid w:val="006F531B"/>
    <w:rsid w:val="006F687D"/>
    <w:rsid w:val="006F714E"/>
    <w:rsid w:val="0070035C"/>
    <w:rsid w:val="00703031"/>
    <w:rsid w:val="00705A43"/>
    <w:rsid w:val="00707941"/>
    <w:rsid w:val="00707FF4"/>
    <w:rsid w:val="007136E2"/>
    <w:rsid w:val="00715569"/>
    <w:rsid w:val="007155D0"/>
    <w:rsid w:val="0071706E"/>
    <w:rsid w:val="0071726F"/>
    <w:rsid w:val="00721516"/>
    <w:rsid w:val="00723B68"/>
    <w:rsid w:val="0072462C"/>
    <w:rsid w:val="00726019"/>
    <w:rsid w:val="0072636D"/>
    <w:rsid w:val="007318F7"/>
    <w:rsid w:val="0073423E"/>
    <w:rsid w:val="007360FA"/>
    <w:rsid w:val="007366A7"/>
    <w:rsid w:val="00736B92"/>
    <w:rsid w:val="00737D67"/>
    <w:rsid w:val="0074083C"/>
    <w:rsid w:val="007408DA"/>
    <w:rsid w:val="00741094"/>
    <w:rsid w:val="00741C89"/>
    <w:rsid w:val="00741CF8"/>
    <w:rsid w:val="00742B7F"/>
    <w:rsid w:val="007433DA"/>
    <w:rsid w:val="00743638"/>
    <w:rsid w:val="00743895"/>
    <w:rsid w:val="0074489A"/>
    <w:rsid w:val="00745E66"/>
    <w:rsid w:val="00747B7D"/>
    <w:rsid w:val="00751E0D"/>
    <w:rsid w:val="00752642"/>
    <w:rsid w:val="007535DF"/>
    <w:rsid w:val="007563A7"/>
    <w:rsid w:val="007572AB"/>
    <w:rsid w:val="00757569"/>
    <w:rsid w:val="00762AE5"/>
    <w:rsid w:val="00763639"/>
    <w:rsid w:val="007636B3"/>
    <w:rsid w:val="00764137"/>
    <w:rsid w:val="00764B5D"/>
    <w:rsid w:val="00764D0E"/>
    <w:rsid w:val="00765189"/>
    <w:rsid w:val="00765F9F"/>
    <w:rsid w:val="00767E64"/>
    <w:rsid w:val="00770B68"/>
    <w:rsid w:val="00770FC3"/>
    <w:rsid w:val="0077232E"/>
    <w:rsid w:val="00772640"/>
    <w:rsid w:val="007728B2"/>
    <w:rsid w:val="007745D9"/>
    <w:rsid w:val="00774F32"/>
    <w:rsid w:val="00774F92"/>
    <w:rsid w:val="0077657B"/>
    <w:rsid w:val="007771AB"/>
    <w:rsid w:val="0077743F"/>
    <w:rsid w:val="00781260"/>
    <w:rsid w:val="00781C7A"/>
    <w:rsid w:val="00781FFA"/>
    <w:rsid w:val="00783D76"/>
    <w:rsid w:val="0078486F"/>
    <w:rsid w:val="007865F9"/>
    <w:rsid w:val="00787C4D"/>
    <w:rsid w:val="007910B4"/>
    <w:rsid w:val="00792F6E"/>
    <w:rsid w:val="007948F6"/>
    <w:rsid w:val="00794E7F"/>
    <w:rsid w:val="00796306"/>
    <w:rsid w:val="00797D31"/>
    <w:rsid w:val="007A0023"/>
    <w:rsid w:val="007A03EB"/>
    <w:rsid w:val="007A0CFC"/>
    <w:rsid w:val="007A36D9"/>
    <w:rsid w:val="007B12CF"/>
    <w:rsid w:val="007B14CE"/>
    <w:rsid w:val="007B1670"/>
    <w:rsid w:val="007B21F4"/>
    <w:rsid w:val="007B7326"/>
    <w:rsid w:val="007B7A4D"/>
    <w:rsid w:val="007B7AE6"/>
    <w:rsid w:val="007B7F9B"/>
    <w:rsid w:val="007C13D5"/>
    <w:rsid w:val="007C14E9"/>
    <w:rsid w:val="007C2E61"/>
    <w:rsid w:val="007C7DFE"/>
    <w:rsid w:val="007D3611"/>
    <w:rsid w:val="007D3F7C"/>
    <w:rsid w:val="007D41E7"/>
    <w:rsid w:val="007D4C6F"/>
    <w:rsid w:val="007D520C"/>
    <w:rsid w:val="007D5808"/>
    <w:rsid w:val="007D6EC5"/>
    <w:rsid w:val="007E0279"/>
    <w:rsid w:val="007E3B7D"/>
    <w:rsid w:val="007E3EE4"/>
    <w:rsid w:val="007F1645"/>
    <w:rsid w:val="007F18A0"/>
    <w:rsid w:val="007F1F3B"/>
    <w:rsid w:val="007F2C20"/>
    <w:rsid w:val="007F31BD"/>
    <w:rsid w:val="007F3466"/>
    <w:rsid w:val="007F43E9"/>
    <w:rsid w:val="007F4667"/>
    <w:rsid w:val="007F55C0"/>
    <w:rsid w:val="007F620C"/>
    <w:rsid w:val="007F66AB"/>
    <w:rsid w:val="007F75D1"/>
    <w:rsid w:val="007F7777"/>
    <w:rsid w:val="00800004"/>
    <w:rsid w:val="0080125D"/>
    <w:rsid w:val="008018E7"/>
    <w:rsid w:val="00803ED6"/>
    <w:rsid w:val="00804A47"/>
    <w:rsid w:val="00806A6B"/>
    <w:rsid w:val="00807EDD"/>
    <w:rsid w:val="00811713"/>
    <w:rsid w:val="00811BCE"/>
    <w:rsid w:val="008131EE"/>
    <w:rsid w:val="00814763"/>
    <w:rsid w:val="00814F2D"/>
    <w:rsid w:val="008153D1"/>
    <w:rsid w:val="008169B1"/>
    <w:rsid w:val="00817B75"/>
    <w:rsid w:val="0082049B"/>
    <w:rsid w:val="00824136"/>
    <w:rsid w:val="00824B52"/>
    <w:rsid w:val="00824CE5"/>
    <w:rsid w:val="0082566D"/>
    <w:rsid w:val="00825E41"/>
    <w:rsid w:val="0082621E"/>
    <w:rsid w:val="00826526"/>
    <w:rsid w:val="00827EC4"/>
    <w:rsid w:val="00832C36"/>
    <w:rsid w:val="00833192"/>
    <w:rsid w:val="0083477C"/>
    <w:rsid w:val="008358A0"/>
    <w:rsid w:val="00835D6C"/>
    <w:rsid w:val="00836EA8"/>
    <w:rsid w:val="0083714A"/>
    <w:rsid w:val="00837FDC"/>
    <w:rsid w:val="00843C82"/>
    <w:rsid w:val="00844842"/>
    <w:rsid w:val="00845FED"/>
    <w:rsid w:val="008469FF"/>
    <w:rsid w:val="008470CB"/>
    <w:rsid w:val="00847AD3"/>
    <w:rsid w:val="00847B98"/>
    <w:rsid w:val="00847DB0"/>
    <w:rsid w:val="0085372B"/>
    <w:rsid w:val="00855081"/>
    <w:rsid w:val="0085596B"/>
    <w:rsid w:val="008561D9"/>
    <w:rsid w:val="008615AB"/>
    <w:rsid w:val="00861FC5"/>
    <w:rsid w:val="00862896"/>
    <w:rsid w:val="00862A33"/>
    <w:rsid w:val="00862A42"/>
    <w:rsid w:val="0086464D"/>
    <w:rsid w:val="00864B8F"/>
    <w:rsid w:val="00866044"/>
    <w:rsid w:val="00866E33"/>
    <w:rsid w:val="00867078"/>
    <w:rsid w:val="008705F5"/>
    <w:rsid w:val="00871347"/>
    <w:rsid w:val="008722D5"/>
    <w:rsid w:val="00872750"/>
    <w:rsid w:val="00872B8D"/>
    <w:rsid w:val="00873809"/>
    <w:rsid w:val="00874C61"/>
    <w:rsid w:val="00876172"/>
    <w:rsid w:val="00877B54"/>
    <w:rsid w:val="00877EB0"/>
    <w:rsid w:val="00882EE9"/>
    <w:rsid w:val="0088416E"/>
    <w:rsid w:val="00891611"/>
    <w:rsid w:val="0089223D"/>
    <w:rsid w:val="00892353"/>
    <w:rsid w:val="00895474"/>
    <w:rsid w:val="00896B2C"/>
    <w:rsid w:val="008973FB"/>
    <w:rsid w:val="008A0B51"/>
    <w:rsid w:val="008A0E79"/>
    <w:rsid w:val="008A1816"/>
    <w:rsid w:val="008A42DA"/>
    <w:rsid w:val="008A4857"/>
    <w:rsid w:val="008A5246"/>
    <w:rsid w:val="008A5EC8"/>
    <w:rsid w:val="008A5FFC"/>
    <w:rsid w:val="008A767E"/>
    <w:rsid w:val="008B0DC6"/>
    <w:rsid w:val="008B0EB4"/>
    <w:rsid w:val="008B1310"/>
    <w:rsid w:val="008B1A2A"/>
    <w:rsid w:val="008B201B"/>
    <w:rsid w:val="008B3D4F"/>
    <w:rsid w:val="008B4844"/>
    <w:rsid w:val="008B4BE7"/>
    <w:rsid w:val="008C1A4D"/>
    <w:rsid w:val="008C2AED"/>
    <w:rsid w:val="008C56A7"/>
    <w:rsid w:val="008C6255"/>
    <w:rsid w:val="008C6A8F"/>
    <w:rsid w:val="008C6BFA"/>
    <w:rsid w:val="008C7282"/>
    <w:rsid w:val="008C76C1"/>
    <w:rsid w:val="008D0788"/>
    <w:rsid w:val="008D2219"/>
    <w:rsid w:val="008D424E"/>
    <w:rsid w:val="008D46AB"/>
    <w:rsid w:val="008E0186"/>
    <w:rsid w:val="008E33BA"/>
    <w:rsid w:val="008E3AB2"/>
    <w:rsid w:val="008E48F4"/>
    <w:rsid w:val="008E5536"/>
    <w:rsid w:val="008E5801"/>
    <w:rsid w:val="008E6509"/>
    <w:rsid w:val="008E6942"/>
    <w:rsid w:val="008E7FAA"/>
    <w:rsid w:val="008F145C"/>
    <w:rsid w:val="008F178C"/>
    <w:rsid w:val="008F4075"/>
    <w:rsid w:val="00901059"/>
    <w:rsid w:val="00901BB3"/>
    <w:rsid w:val="00903295"/>
    <w:rsid w:val="009041FC"/>
    <w:rsid w:val="009044D2"/>
    <w:rsid w:val="0090741E"/>
    <w:rsid w:val="00907F6C"/>
    <w:rsid w:val="009111FB"/>
    <w:rsid w:val="00912B70"/>
    <w:rsid w:val="0091320D"/>
    <w:rsid w:val="00913381"/>
    <w:rsid w:val="00915FD4"/>
    <w:rsid w:val="009203FE"/>
    <w:rsid w:val="00920C52"/>
    <w:rsid w:val="00921192"/>
    <w:rsid w:val="0092177A"/>
    <w:rsid w:val="0092197D"/>
    <w:rsid w:val="0092393B"/>
    <w:rsid w:val="009249CD"/>
    <w:rsid w:val="0092781E"/>
    <w:rsid w:val="00930057"/>
    <w:rsid w:val="0093125E"/>
    <w:rsid w:val="00933D65"/>
    <w:rsid w:val="0093540B"/>
    <w:rsid w:val="009379B0"/>
    <w:rsid w:val="00937EAE"/>
    <w:rsid w:val="00937F6A"/>
    <w:rsid w:val="0094093A"/>
    <w:rsid w:val="00943AA4"/>
    <w:rsid w:val="00943C73"/>
    <w:rsid w:val="009445C1"/>
    <w:rsid w:val="00944B32"/>
    <w:rsid w:val="0095126B"/>
    <w:rsid w:val="009514F0"/>
    <w:rsid w:val="00951620"/>
    <w:rsid w:val="009538C2"/>
    <w:rsid w:val="00954120"/>
    <w:rsid w:val="0095462F"/>
    <w:rsid w:val="009617F3"/>
    <w:rsid w:val="00961C40"/>
    <w:rsid w:val="0096360B"/>
    <w:rsid w:val="00965B87"/>
    <w:rsid w:val="0096752C"/>
    <w:rsid w:val="00971397"/>
    <w:rsid w:val="00972FD6"/>
    <w:rsid w:val="00973A69"/>
    <w:rsid w:val="00973D09"/>
    <w:rsid w:val="00973E12"/>
    <w:rsid w:val="00974973"/>
    <w:rsid w:val="00976DB9"/>
    <w:rsid w:val="009773BB"/>
    <w:rsid w:val="00977D02"/>
    <w:rsid w:val="00980002"/>
    <w:rsid w:val="009814AF"/>
    <w:rsid w:val="00981982"/>
    <w:rsid w:val="00981A9B"/>
    <w:rsid w:val="00981C56"/>
    <w:rsid w:val="0098390D"/>
    <w:rsid w:val="00985675"/>
    <w:rsid w:val="009856BF"/>
    <w:rsid w:val="00986CD8"/>
    <w:rsid w:val="00987041"/>
    <w:rsid w:val="00987239"/>
    <w:rsid w:val="00987DC8"/>
    <w:rsid w:val="00987EEC"/>
    <w:rsid w:val="00990372"/>
    <w:rsid w:val="00993146"/>
    <w:rsid w:val="0099480C"/>
    <w:rsid w:val="00994B05"/>
    <w:rsid w:val="00996B62"/>
    <w:rsid w:val="0099783D"/>
    <w:rsid w:val="009A294B"/>
    <w:rsid w:val="009A58BC"/>
    <w:rsid w:val="009A7796"/>
    <w:rsid w:val="009A786C"/>
    <w:rsid w:val="009A7D48"/>
    <w:rsid w:val="009B2A43"/>
    <w:rsid w:val="009B385A"/>
    <w:rsid w:val="009B3CD0"/>
    <w:rsid w:val="009B41E6"/>
    <w:rsid w:val="009B74CC"/>
    <w:rsid w:val="009C190E"/>
    <w:rsid w:val="009C369C"/>
    <w:rsid w:val="009C51F6"/>
    <w:rsid w:val="009C564C"/>
    <w:rsid w:val="009C7FAB"/>
    <w:rsid w:val="009D01B7"/>
    <w:rsid w:val="009D16BC"/>
    <w:rsid w:val="009D56EA"/>
    <w:rsid w:val="009D5DAD"/>
    <w:rsid w:val="009D633C"/>
    <w:rsid w:val="009D664C"/>
    <w:rsid w:val="009E1109"/>
    <w:rsid w:val="009E1C19"/>
    <w:rsid w:val="009E24C7"/>
    <w:rsid w:val="009E3834"/>
    <w:rsid w:val="009E597C"/>
    <w:rsid w:val="009E5F8D"/>
    <w:rsid w:val="009F04B9"/>
    <w:rsid w:val="009F2947"/>
    <w:rsid w:val="009F3100"/>
    <w:rsid w:val="009F5472"/>
    <w:rsid w:val="009F62B5"/>
    <w:rsid w:val="009F7E46"/>
    <w:rsid w:val="00A005BD"/>
    <w:rsid w:val="00A00E7C"/>
    <w:rsid w:val="00A01331"/>
    <w:rsid w:val="00A0184B"/>
    <w:rsid w:val="00A0264A"/>
    <w:rsid w:val="00A026D4"/>
    <w:rsid w:val="00A03022"/>
    <w:rsid w:val="00A031BE"/>
    <w:rsid w:val="00A07B6D"/>
    <w:rsid w:val="00A11ADF"/>
    <w:rsid w:val="00A11C16"/>
    <w:rsid w:val="00A137DC"/>
    <w:rsid w:val="00A15379"/>
    <w:rsid w:val="00A1543A"/>
    <w:rsid w:val="00A21BE8"/>
    <w:rsid w:val="00A2587E"/>
    <w:rsid w:val="00A2661F"/>
    <w:rsid w:val="00A27A76"/>
    <w:rsid w:val="00A27F7B"/>
    <w:rsid w:val="00A33C1D"/>
    <w:rsid w:val="00A3457F"/>
    <w:rsid w:val="00A34BA6"/>
    <w:rsid w:val="00A37906"/>
    <w:rsid w:val="00A4139C"/>
    <w:rsid w:val="00A41620"/>
    <w:rsid w:val="00A41FAF"/>
    <w:rsid w:val="00A426AF"/>
    <w:rsid w:val="00A439E1"/>
    <w:rsid w:val="00A4470B"/>
    <w:rsid w:val="00A47DBA"/>
    <w:rsid w:val="00A52EB2"/>
    <w:rsid w:val="00A54A48"/>
    <w:rsid w:val="00A5648D"/>
    <w:rsid w:val="00A56794"/>
    <w:rsid w:val="00A61A2B"/>
    <w:rsid w:val="00A62D27"/>
    <w:rsid w:val="00A638B9"/>
    <w:rsid w:val="00A64A04"/>
    <w:rsid w:val="00A64E4C"/>
    <w:rsid w:val="00A67C0B"/>
    <w:rsid w:val="00A7245E"/>
    <w:rsid w:val="00A724BB"/>
    <w:rsid w:val="00A74B4F"/>
    <w:rsid w:val="00A75878"/>
    <w:rsid w:val="00A774BC"/>
    <w:rsid w:val="00A77745"/>
    <w:rsid w:val="00A77AB1"/>
    <w:rsid w:val="00A81461"/>
    <w:rsid w:val="00A82242"/>
    <w:rsid w:val="00A823CA"/>
    <w:rsid w:val="00A8271A"/>
    <w:rsid w:val="00A830C0"/>
    <w:rsid w:val="00A84141"/>
    <w:rsid w:val="00A8703A"/>
    <w:rsid w:val="00A87BD0"/>
    <w:rsid w:val="00A90222"/>
    <w:rsid w:val="00A9187A"/>
    <w:rsid w:val="00A9188E"/>
    <w:rsid w:val="00A92A53"/>
    <w:rsid w:val="00A93965"/>
    <w:rsid w:val="00A959E9"/>
    <w:rsid w:val="00A9658A"/>
    <w:rsid w:val="00A9673D"/>
    <w:rsid w:val="00AA1B9D"/>
    <w:rsid w:val="00AA2BFF"/>
    <w:rsid w:val="00AA3003"/>
    <w:rsid w:val="00AB038D"/>
    <w:rsid w:val="00AB364D"/>
    <w:rsid w:val="00AB39D7"/>
    <w:rsid w:val="00AB43E8"/>
    <w:rsid w:val="00AB4D1C"/>
    <w:rsid w:val="00AB6204"/>
    <w:rsid w:val="00AC04ED"/>
    <w:rsid w:val="00AC3C37"/>
    <w:rsid w:val="00AC7E8B"/>
    <w:rsid w:val="00AD1CCB"/>
    <w:rsid w:val="00AD207E"/>
    <w:rsid w:val="00AD262E"/>
    <w:rsid w:val="00AD2B50"/>
    <w:rsid w:val="00AD3604"/>
    <w:rsid w:val="00AD3AFB"/>
    <w:rsid w:val="00AD53A7"/>
    <w:rsid w:val="00AD5C3A"/>
    <w:rsid w:val="00AD793A"/>
    <w:rsid w:val="00AE0047"/>
    <w:rsid w:val="00AE203F"/>
    <w:rsid w:val="00AE309D"/>
    <w:rsid w:val="00AE3DCB"/>
    <w:rsid w:val="00AE49EC"/>
    <w:rsid w:val="00AE550F"/>
    <w:rsid w:val="00AE5579"/>
    <w:rsid w:val="00AE7107"/>
    <w:rsid w:val="00AE71E3"/>
    <w:rsid w:val="00AE75D3"/>
    <w:rsid w:val="00AE7932"/>
    <w:rsid w:val="00AF06FA"/>
    <w:rsid w:val="00AF0C5D"/>
    <w:rsid w:val="00AF139B"/>
    <w:rsid w:val="00AF16E2"/>
    <w:rsid w:val="00AF32E6"/>
    <w:rsid w:val="00AF4DC9"/>
    <w:rsid w:val="00AF5344"/>
    <w:rsid w:val="00B015FF"/>
    <w:rsid w:val="00B0394E"/>
    <w:rsid w:val="00B04BC2"/>
    <w:rsid w:val="00B06AF1"/>
    <w:rsid w:val="00B10E26"/>
    <w:rsid w:val="00B12301"/>
    <w:rsid w:val="00B139AA"/>
    <w:rsid w:val="00B14004"/>
    <w:rsid w:val="00B1411C"/>
    <w:rsid w:val="00B16413"/>
    <w:rsid w:val="00B22D86"/>
    <w:rsid w:val="00B23B02"/>
    <w:rsid w:val="00B270BE"/>
    <w:rsid w:val="00B27CAE"/>
    <w:rsid w:val="00B27F3D"/>
    <w:rsid w:val="00B31BAD"/>
    <w:rsid w:val="00B32789"/>
    <w:rsid w:val="00B32E12"/>
    <w:rsid w:val="00B37BF1"/>
    <w:rsid w:val="00B40448"/>
    <w:rsid w:val="00B41046"/>
    <w:rsid w:val="00B422B9"/>
    <w:rsid w:val="00B450B4"/>
    <w:rsid w:val="00B4642F"/>
    <w:rsid w:val="00B46B4F"/>
    <w:rsid w:val="00B46F75"/>
    <w:rsid w:val="00B472A4"/>
    <w:rsid w:val="00B47E40"/>
    <w:rsid w:val="00B5037F"/>
    <w:rsid w:val="00B50D21"/>
    <w:rsid w:val="00B53044"/>
    <w:rsid w:val="00B531D5"/>
    <w:rsid w:val="00B53BC5"/>
    <w:rsid w:val="00B54DEE"/>
    <w:rsid w:val="00B5586F"/>
    <w:rsid w:val="00B55976"/>
    <w:rsid w:val="00B57649"/>
    <w:rsid w:val="00B57A88"/>
    <w:rsid w:val="00B611C0"/>
    <w:rsid w:val="00B61A29"/>
    <w:rsid w:val="00B6211C"/>
    <w:rsid w:val="00B6356E"/>
    <w:rsid w:val="00B63B5E"/>
    <w:rsid w:val="00B647F5"/>
    <w:rsid w:val="00B70649"/>
    <w:rsid w:val="00B7154B"/>
    <w:rsid w:val="00B74036"/>
    <w:rsid w:val="00B74450"/>
    <w:rsid w:val="00B74C02"/>
    <w:rsid w:val="00B76800"/>
    <w:rsid w:val="00B814BF"/>
    <w:rsid w:val="00B818A6"/>
    <w:rsid w:val="00B83256"/>
    <w:rsid w:val="00B84CF4"/>
    <w:rsid w:val="00B85EB3"/>
    <w:rsid w:val="00B872DC"/>
    <w:rsid w:val="00B911A9"/>
    <w:rsid w:val="00B91913"/>
    <w:rsid w:val="00B932F5"/>
    <w:rsid w:val="00B9494E"/>
    <w:rsid w:val="00B95D0F"/>
    <w:rsid w:val="00B96673"/>
    <w:rsid w:val="00B96790"/>
    <w:rsid w:val="00B96A57"/>
    <w:rsid w:val="00B97B13"/>
    <w:rsid w:val="00BA1464"/>
    <w:rsid w:val="00BB0952"/>
    <w:rsid w:val="00BB105A"/>
    <w:rsid w:val="00BB25F4"/>
    <w:rsid w:val="00BB6757"/>
    <w:rsid w:val="00BB6CF8"/>
    <w:rsid w:val="00BC02EE"/>
    <w:rsid w:val="00BC0938"/>
    <w:rsid w:val="00BC0A19"/>
    <w:rsid w:val="00BC21BE"/>
    <w:rsid w:val="00BC6118"/>
    <w:rsid w:val="00BC64AC"/>
    <w:rsid w:val="00BD18E1"/>
    <w:rsid w:val="00BD35AD"/>
    <w:rsid w:val="00BD3A67"/>
    <w:rsid w:val="00BD513C"/>
    <w:rsid w:val="00BD532A"/>
    <w:rsid w:val="00BD6488"/>
    <w:rsid w:val="00BD6A9D"/>
    <w:rsid w:val="00BD7A22"/>
    <w:rsid w:val="00BE2564"/>
    <w:rsid w:val="00BE295D"/>
    <w:rsid w:val="00BE3899"/>
    <w:rsid w:val="00BE656E"/>
    <w:rsid w:val="00BE70E5"/>
    <w:rsid w:val="00BE7D82"/>
    <w:rsid w:val="00BF231A"/>
    <w:rsid w:val="00BF2BE3"/>
    <w:rsid w:val="00BF3A97"/>
    <w:rsid w:val="00BF5D97"/>
    <w:rsid w:val="00BF6174"/>
    <w:rsid w:val="00BF6F16"/>
    <w:rsid w:val="00C00F49"/>
    <w:rsid w:val="00C015F3"/>
    <w:rsid w:val="00C01765"/>
    <w:rsid w:val="00C03111"/>
    <w:rsid w:val="00C04E6A"/>
    <w:rsid w:val="00C05DDE"/>
    <w:rsid w:val="00C06ADD"/>
    <w:rsid w:val="00C079C9"/>
    <w:rsid w:val="00C11B51"/>
    <w:rsid w:val="00C13F1E"/>
    <w:rsid w:val="00C1462E"/>
    <w:rsid w:val="00C216E7"/>
    <w:rsid w:val="00C226B2"/>
    <w:rsid w:val="00C25C08"/>
    <w:rsid w:val="00C26696"/>
    <w:rsid w:val="00C3368A"/>
    <w:rsid w:val="00C336D2"/>
    <w:rsid w:val="00C34DAD"/>
    <w:rsid w:val="00C37682"/>
    <w:rsid w:val="00C41ED5"/>
    <w:rsid w:val="00C45BB5"/>
    <w:rsid w:val="00C47C0F"/>
    <w:rsid w:val="00C50A98"/>
    <w:rsid w:val="00C50E24"/>
    <w:rsid w:val="00C522B7"/>
    <w:rsid w:val="00C534D8"/>
    <w:rsid w:val="00C5437B"/>
    <w:rsid w:val="00C54717"/>
    <w:rsid w:val="00C54E89"/>
    <w:rsid w:val="00C55202"/>
    <w:rsid w:val="00C557EE"/>
    <w:rsid w:val="00C5584A"/>
    <w:rsid w:val="00C602F4"/>
    <w:rsid w:val="00C621B0"/>
    <w:rsid w:val="00C62D35"/>
    <w:rsid w:val="00C63B51"/>
    <w:rsid w:val="00C64A36"/>
    <w:rsid w:val="00C657D2"/>
    <w:rsid w:val="00C65940"/>
    <w:rsid w:val="00C737E2"/>
    <w:rsid w:val="00C804E6"/>
    <w:rsid w:val="00C813AB"/>
    <w:rsid w:val="00C813E2"/>
    <w:rsid w:val="00C83E35"/>
    <w:rsid w:val="00C84F06"/>
    <w:rsid w:val="00C8580A"/>
    <w:rsid w:val="00C85ED4"/>
    <w:rsid w:val="00C879D5"/>
    <w:rsid w:val="00C87D4E"/>
    <w:rsid w:val="00C87EF0"/>
    <w:rsid w:val="00C91482"/>
    <w:rsid w:val="00C91CEA"/>
    <w:rsid w:val="00C93FF5"/>
    <w:rsid w:val="00C94111"/>
    <w:rsid w:val="00C948A1"/>
    <w:rsid w:val="00C95435"/>
    <w:rsid w:val="00CA1B48"/>
    <w:rsid w:val="00CA49E7"/>
    <w:rsid w:val="00CA4EEE"/>
    <w:rsid w:val="00CA7312"/>
    <w:rsid w:val="00CB0ABB"/>
    <w:rsid w:val="00CB1034"/>
    <w:rsid w:val="00CB5092"/>
    <w:rsid w:val="00CC0B61"/>
    <w:rsid w:val="00CC3736"/>
    <w:rsid w:val="00CC4479"/>
    <w:rsid w:val="00CC47A8"/>
    <w:rsid w:val="00CC6395"/>
    <w:rsid w:val="00CC7461"/>
    <w:rsid w:val="00CD0F1B"/>
    <w:rsid w:val="00CD1B48"/>
    <w:rsid w:val="00CD2790"/>
    <w:rsid w:val="00CD4C31"/>
    <w:rsid w:val="00CD4C89"/>
    <w:rsid w:val="00CD4E71"/>
    <w:rsid w:val="00CD54CE"/>
    <w:rsid w:val="00CD58B6"/>
    <w:rsid w:val="00CD5E35"/>
    <w:rsid w:val="00CD62DF"/>
    <w:rsid w:val="00CD760F"/>
    <w:rsid w:val="00CE0AB3"/>
    <w:rsid w:val="00CE3438"/>
    <w:rsid w:val="00CE3C23"/>
    <w:rsid w:val="00CE4703"/>
    <w:rsid w:val="00CE7750"/>
    <w:rsid w:val="00CF0903"/>
    <w:rsid w:val="00CF3A9F"/>
    <w:rsid w:val="00CF42AA"/>
    <w:rsid w:val="00CF7469"/>
    <w:rsid w:val="00CF7CDD"/>
    <w:rsid w:val="00D0147D"/>
    <w:rsid w:val="00D01CA4"/>
    <w:rsid w:val="00D02238"/>
    <w:rsid w:val="00D02FB5"/>
    <w:rsid w:val="00D04973"/>
    <w:rsid w:val="00D063A4"/>
    <w:rsid w:val="00D10B52"/>
    <w:rsid w:val="00D119DD"/>
    <w:rsid w:val="00D168BF"/>
    <w:rsid w:val="00D168C0"/>
    <w:rsid w:val="00D21972"/>
    <w:rsid w:val="00D22B49"/>
    <w:rsid w:val="00D234C0"/>
    <w:rsid w:val="00D249D6"/>
    <w:rsid w:val="00D2621D"/>
    <w:rsid w:val="00D32510"/>
    <w:rsid w:val="00D332FD"/>
    <w:rsid w:val="00D335CF"/>
    <w:rsid w:val="00D37238"/>
    <w:rsid w:val="00D37539"/>
    <w:rsid w:val="00D37697"/>
    <w:rsid w:val="00D42087"/>
    <w:rsid w:val="00D4215E"/>
    <w:rsid w:val="00D43FCB"/>
    <w:rsid w:val="00D4457D"/>
    <w:rsid w:val="00D454B9"/>
    <w:rsid w:val="00D46400"/>
    <w:rsid w:val="00D471B2"/>
    <w:rsid w:val="00D47B2B"/>
    <w:rsid w:val="00D50CB1"/>
    <w:rsid w:val="00D538AC"/>
    <w:rsid w:val="00D542F2"/>
    <w:rsid w:val="00D56708"/>
    <w:rsid w:val="00D574BC"/>
    <w:rsid w:val="00D614B6"/>
    <w:rsid w:val="00D62839"/>
    <w:rsid w:val="00D62A7D"/>
    <w:rsid w:val="00D667F1"/>
    <w:rsid w:val="00D66A67"/>
    <w:rsid w:val="00D70008"/>
    <w:rsid w:val="00D700F9"/>
    <w:rsid w:val="00D71AF2"/>
    <w:rsid w:val="00D72A8F"/>
    <w:rsid w:val="00D731A3"/>
    <w:rsid w:val="00D8181C"/>
    <w:rsid w:val="00D82EC2"/>
    <w:rsid w:val="00D82EEE"/>
    <w:rsid w:val="00D840B4"/>
    <w:rsid w:val="00D85468"/>
    <w:rsid w:val="00D86AB4"/>
    <w:rsid w:val="00D877BB"/>
    <w:rsid w:val="00D87D5E"/>
    <w:rsid w:val="00D87FC2"/>
    <w:rsid w:val="00D907FC"/>
    <w:rsid w:val="00D91853"/>
    <w:rsid w:val="00D918FE"/>
    <w:rsid w:val="00D92040"/>
    <w:rsid w:val="00D93ABE"/>
    <w:rsid w:val="00D95C30"/>
    <w:rsid w:val="00D97F97"/>
    <w:rsid w:val="00DA06EC"/>
    <w:rsid w:val="00DA1D4F"/>
    <w:rsid w:val="00DA23F8"/>
    <w:rsid w:val="00DA37DE"/>
    <w:rsid w:val="00DA5A14"/>
    <w:rsid w:val="00DA67D5"/>
    <w:rsid w:val="00DA7E3B"/>
    <w:rsid w:val="00DB09AF"/>
    <w:rsid w:val="00DB1971"/>
    <w:rsid w:val="00DB3F95"/>
    <w:rsid w:val="00DB575D"/>
    <w:rsid w:val="00DB6953"/>
    <w:rsid w:val="00DB6ACF"/>
    <w:rsid w:val="00DC3BB8"/>
    <w:rsid w:val="00DC3DA7"/>
    <w:rsid w:val="00DC68E7"/>
    <w:rsid w:val="00DD0C43"/>
    <w:rsid w:val="00DD2363"/>
    <w:rsid w:val="00DD3267"/>
    <w:rsid w:val="00DD33D0"/>
    <w:rsid w:val="00DD6ECA"/>
    <w:rsid w:val="00DD7FAD"/>
    <w:rsid w:val="00DE0B23"/>
    <w:rsid w:val="00DE2C86"/>
    <w:rsid w:val="00DE74CC"/>
    <w:rsid w:val="00DE7BE0"/>
    <w:rsid w:val="00DF10BE"/>
    <w:rsid w:val="00DF1D00"/>
    <w:rsid w:val="00DF3A6E"/>
    <w:rsid w:val="00DF5696"/>
    <w:rsid w:val="00DF5742"/>
    <w:rsid w:val="00E00661"/>
    <w:rsid w:val="00E00788"/>
    <w:rsid w:val="00E00969"/>
    <w:rsid w:val="00E012A0"/>
    <w:rsid w:val="00E01C14"/>
    <w:rsid w:val="00E01C8E"/>
    <w:rsid w:val="00E030C5"/>
    <w:rsid w:val="00E07622"/>
    <w:rsid w:val="00E1176C"/>
    <w:rsid w:val="00E15A61"/>
    <w:rsid w:val="00E164B3"/>
    <w:rsid w:val="00E16DA3"/>
    <w:rsid w:val="00E17FEA"/>
    <w:rsid w:val="00E263A2"/>
    <w:rsid w:val="00E26FE4"/>
    <w:rsid w:val="00E3074D"/>
    <w:rsid w:val="00E32AAE"/>
    <w:rsid w:val="00E340D3"/>
    <w:rsid w:val="00E354A7"/>
    <w:rsid w:val="00E405A9"/>
    <w:rsid w:val="00E4220D"/>
    <w:rsid w:val="00E4530B"/>
    <w:rsid w:val="00E45A6E"/>
    <w:rsid w:val="00E46DFF"/>
    <w:rsid w:val="00E47294"/>
    <w:rsid w:val="00E47557"/>
    <w:rsid w:val="00E476EC"/>
    <w:rsid w:val="00E47B3B"/>
    <w:rsid w:val="00E50C28"/>
    <w:rsid w:val="00E50FB7"/>
    <w:rsid w:val="00E570F1"/>
    <w:rsid w:val="00E60CE6"/>
    <w:rsid w:val="00E616E5"/>
    <w:rsid w:val="00E62AAD"/>
    <w:rsid w:val="00E6300E"/>
    <w:rsid w:val="00E64AE1"/>
    <w:rsid w:val="00E66BE2"/>
    <w:rsid w:val="00E66F2E"/>
    <w:rsid w:val="00E6719E"/>
    <w:rsid w:val="00E67D29"/>
    <w:rsid w:val="00E70989"/>
    <w:rsid w:val="00E71252"/>
    <w:rsid w:val="00E7150C"/>
    <w:rsid w:val="00E72BF7"/>
    <w:rsid w:val="00E7393A"/>
    <w:rsid w:val="00E74B92"/>
    <w:rsid w:val="00E75331"/>
    <w:rsid w:val="00E760F2"/>
    <w:rsid w:val="00E7772B"/>
    <w:rsid w:val="00E8072B"/>
    <w:rsid w:val="00E808C4"/>
    <w:rsid w:val="00E82C4C"/>
    <w:rsid w:val="00E8391A"/>
    <w:rsid w:val="00E84C71"/>
    <w:rsid w:val="00E86FB6"/>
    <w:rsid w:val="00EA0F82"/>
    <w:rsid w:val="00EA26A7"/>
    <w:rsid w:val="00EA42E5"/>
    <w:rsid w:val="00EB0DE5"/>
    <w:rsid w:val="00EB2192"/>
    <w:rsid w:val="00EB40BD"/>
    <w:rsid w:val="00EB4137"/>
    <w:rsid w:val="00EB4474"/>
    <w:rsid w:val="00EB602C"/>
    <w:rsid w:val="00EB6A88"/>
    <w:rsid w:val="00EB74AC"/>
    <w:rsid w:val="00EC2235"/>
    <w:rsid w:val="00EC32B9"/>
    <w:rsid w:val="00EC385C"/>
    <w:rsid w:val="00EC6087"/>
    <w:rsid w:val="00ED0788"/>
    <w:rsid w:val="00ED2393"/>
    <w:rsid w:val="00ED3443"/>
    <w:rsid w:val="00EE3020"/>
    <w:rsid w:val="00EE3A7F"/>
    <w:rsid w:val="00EE52C3"/>
    <w:rsid w:val="00EE7E11"/>
    <w:rsid w:val="00EF497B"/>
    <w:rsid w:val="00EF5C5D"/>
    <w:rsid w:val="00F01217"/>
    <w:rsid w:val="00F04E81"/>
    <w:rsid w:val="00F05E4C"/>
    <w:rsid w:val="00F06D41"/>
    <w:rsid w:val="00F13176"/>
    <w:rsid w:val="00F13438"/>
    <w:rsid w:val="00F153A8"/>
    <w:rsid w:val="00F15B40"/>
    <w:rsid w:val="00F15EB2"/>
    <w:rsid w:val="00F16447"/>
    <w:rsid w:val="00F20097"/>
    <w:rsid w:val="00F20108"/>
    <w:rsid w:val="00F20208"/>
    <w:rsid w:val="00F2092F"/>
    <w:rsid w:val="00F22EA3"/>
    <w:rsid w:val="00F23777"/>
    <w:rsid w:val="00F2433F"/>
    <w:rsid w:val="00F246D0"/>
    <w:rsid w:val="00F3451B"/>
    <w:rsid w:val="00F34A78"/>
    <w:rsid w:val="00F34D73"/>
    <w:rsid w:val="00F34DF9"/>
    <w:rsid w:val="00F3682C"/>
    <w:rsid w:val="00F41C71"/>
    <w:rsid w:val="00F43DFD"/>
    <w:rsid w:val="00F44673"/>
    <w:rsid w:val="00F44B4C"/>
    <w:rsid w:val="00F44C1D"/>
    <w:rsid w:val="00F4551E"/>
    <w:rsid w:val="00F46018"/>
    <w:rsid w:val="00F46A96"/>
    <w:rsid w:val="00F47699"/>
    <w:rsid w:val="00F502B8"/>
    <w:rsid w:val="00F52027"/>
    <w:rsid w:val="00F52F9D"/>
    <w:rsid w:val="00F547AB"/>
    <w:rsid w:val="00F572A0"/>
    <w:rsid w:val="00F60658"/>
    <w:rsid w:val="00F61D2C"/>
    <w:rsid w:val="00F61D35"/>
    <w:rsid w:val="00F620A2"/>
    <w:rsid w:val="00F6258C"/>
    <w:rsid w:val="00F62F75"/>
    <w:rsid w:val="00F649C7"/>
    <w:rsid w:val="00F64A5A"/>
    <w:rsid w:val="00F64F63"/>
    <w:rsid w:val="00F66E42"/>
    <w:rsid w:val="00F70678"/>
    <w:rsid w:val="00F71648"/>
    <w:rsid w:val="00F73D89"/>
    <w:rsid w:val="00F7562E"/>
    <w:rsid w:val="00F75EB9"/>
    <w:rsid w:val="00F762C8"/>
    <w:rsid w:val="00F7660F"/>
    <w:rsid w:val="00F80042"/>
    <w:rsid w:val="00F81A2E"/>
    <w:rsid w:val="00F854E1"/>
    <w:rsid w:val="00F8671E"/>
    <w:rsid w:val="00F8739E"/>
    <w:rsid w:val="00F90493"/>
    <w:rsid w:val="00F90CC9"/>
    <w:rsid w:val="00F925E6"/>
    <w:rsid w:val="00F92B7D"/>
    <w:rsid w:val="00F93BBE"/>
    <w:rsid w:val="00F950B4"/>
    <w:rsid w:val="00F95796"/>
    <w:rsid w:val="00F96A15"/>
    <w:rsid w:val="00FA08BB"/>
    <w:rsid w:val="00FA0FF3"/>
    <w:rsid w:val="00FA1D59"/>
    <w:rsid w:val="00FA1EB6"/>
    <w:rsid w:val="00FA49F7"/>
    <w:rsid w:val="00FA5135"/>
    <w:rsid w:val="00FA6824"/>
    <w:rsid w:val="00FB013E"/>
    <w:rsid w:val="00FB0404"/>
    <w:rsid w:val="00FB0BEC"/>
    <w:rsid w:val="00FB1B04"/>
    <w:rsid w:val="00FB2FCB"/>
    <w:rsid w:val="00FB3318"/>
    <w:rsid w:val="00FB34C5"/>
    <w:rsid w:val="00FB3B01"/>
    <w:rsid w:val="00FB4814"/>
    <w:rsid w:val="00FB548D"/>
    <w:rsid w:val="00FB6A54"/>
    <w:rsid w:val="00FB7896"/>
    <w:rsid w:val="00FC05B8"/>
    <w:rsid w:val="00FC0929"/>
    <w:rsid w:val="00FC0AB2"/>
    <w:rsid w:val="00FC1E15"/>
    <w:rsid w:val="00FC3457"/>
    <w:rsid w:val="00FC60ED"/>
    <w:rsid w:val="00FD027A"/>
    <w:rsid w:val="00FD0837"/>
    <w:rsid w:val="00FD0E3A"/>
    <w:rsid w:val="00FD1B4E"/>
    <w:rsid w:val="00FD4545"/>
    <w:rsid w:val="00FD642B"/>
    <w:rsid w:val="00FE223C"/>
    <w:rsid w:val="00FE3EDE"/>
    <w:rsid w:val="00FF2CFB"/>
    <w:rsid w:val="00FF40E6"/>
    <w:rsid w:val="00FF4D88"/>
    <w:rsid w:val="010D64A0"/>
    <w:rsid w:val="01EB712E"/>
    <w:rsid w:val="0249F73A"/>
    <w:rsid w:val="02D46570"/>
    <w:rsid w:val="0302ABFE"/>
    <w:rsid w:val="03669F13"/>
    <w:rsid w:val="048ABB1D"/>
    <w:rsid w:val="0594E631"/>
    <w:rsid w:val="061CA5D0"/>
    <w:rsid w:val="064C2434"/>
    <w:rsid w:val="06607EB0"/>
    <w:rsid w:val="06D66D64"/>
    <w:rsid w:val="078A1042"/>
    <w:rsid w:val="08F11189"/>
    <w:rsid w:val="096B8C55"/>
    <w:rsid w:val="0A4A7F55"/>
    <w:rsid w:val="0B0858EE"/>
    <w:rsid w:val="0B122D63"/>
    <w:rsid w:val="0B15A69D"/>
    <w:rsid w:val="0C058258"/>
    <w:rsid w:val="0C63ABF7"/>
    <w:rsid w:val="0CAAA16F"/>
    <w:rsid w:val="0DB1D1FA"/>
    <w:rsid w:val="0E61CBDB"/>
    <w:rsid w:val="0E8B4778"/>
    <w:rsid w:val="0F0DC458"/>
    <w:rsid w:val="0F1449BA"/>
    <w:rsid w:val="0F255367"/>
    <w:rsid w:val="0F752DDC"/>
    <w:rsid w:val="10120377"/>
    <w:rsid w:val="10DF755E"/>
    <w:rsid w:val="10F08B10"/>
    <w:rsid w:val="12016A2D"/>
    <w:rsid w:val="12129500"/>
    <w:rsid w:val="121A5D3A"/>
    <w:rsid w:val="12306D42"/>
    <w:rsid w:val="127AF660"/>
    <w:rsid w:val="1290C3CF"/>
    <w:rsid w:val="138428E7"/>
    <w:rsid w:val="13F24835"/>
    <w:rsid w:val="140085E4"/>
    <w:rsid w:val="145250F7"/>
    <w:rsid w:val="14968C6A"/>
    <w:rsid w:val="14B4747E"/>
    <w:rsid w:val="14B93E24"/>
    <w:rsid w:val="16DA0678"/>
    <w:rsid w:val="16EDE1C6"/>
    <w:rsid w:val="1712B934"/>
    <w:rsid w:val="176465FB"/>
    <w:rsid w:val="1770E0FA"/>
    <w:rsid w:val="1A88AF76"/>
    <w:rsid w:val="1BB8AF49"/>
    <w:rsid w:val="1C4FE63A"/>
    <w:rsid w:val="1CCD2A75"/>
    <w:rsid w:val="1DC2E467"/>
    <w:rsid w:val="1F3A5FCD"/>
    <w:rsid w:val="1F3C1C4F"/>
    <w:rsid w:val="1F9659F7"/>
    <w:rsid w:val="1F9DBB1B"/>
    <w:rsid w:val="1FD1C3E7"/>
    <w:rsid w:val="1FF44156"/>
    <w:rsid w:val="20530EA6"/>
    <w:rsid w:val="212F11C7"/>
    <w:rsid w:val="229E7F3F"/>
    <w:rsid w:val="237FAF44"/>
    <w:rsid w:val="2394E451"/>
    <w:rsid w:val="24219D6A"/>
    <w:rsid w:val="24B75C8E"/>
    <w:rsid w:val="25537FB8"/>
    <w:rsid w:val="25932587"/>
    <w:rsid w:val="268271FB"/>
    <w:rsid w:val="26A7AC14"/>
    <w:rsid w:val="282A675D"/>
    <w:rsid w:val="28492CC7"/>
    <w:rsid w:val="2879442B"/>
    <w:rsid w:val="292A738E"/>
    <w:rsid w:val="29385FCD"/>
    <w:rsid w:val="299CCDDD"/>
    <w:rsid w:val="29C96D07"/>
    <w:rsid w:val="29E9EB4B"/>
    <w:rsid w:val="29F808C3"/>
    <w:rsid w:val="2A8C83A1"/>
    <w:rsid w:val="2AD64A1C"/>
    <w:rsid w:val="2B07C7A0"/>
    <w:rsid w:val="2BE511BC"/>
    <w:rsid w:val="2BE7753A"/>
    <w:rsid w:val="2DDE1E4E"/>
    <w:rsid w:val="2E71BA19"/>
    <w:rsid w:val="2F52179F"/>
    <w:rsid w:val="2F8635F3"/>
    <w:rsid w:val="301E0413"/>
    <w:rsid w:val="312DCF33"/>
    <w:rsid w:val="31817A90"/>
    <w:rsid w:val="324E38BF"/>
    <w:rsid w:val="326D4A63"/>
    <w:rsid w:val="32B14B41"/>
    <w:rsid w:val="32D7AB0C"/>
    <w:rsid w:val="34657C88"/>
    <w:rsid w:val="346C7F0F"/>
    <w:rsid w:val="36830DB8"/>
    <w:rsid w:val="36F43BB9"/>
    <w:rsid w:val="373F2C61"/>
    <w:rsid w:val="377E33EC"/>
    <w:rsid w:val="381D1EF4"/>
    <w:rsid w:val="38C97A41"/>
    <w:rsid w:val="398E7126"/>
    <w:rsid w:val="3A937094"/>
    <w:rsid w:val="3BDAB366"/>
    <w:rsid w:val="3D477E9B"/>
    <w:rsid w:val="3D56D52E"/>
    <w:rsid w:val="3D7E7257"/>
    <w:rsid w:val="3DA272CB"/>
    <w:rsid w:val="3E0C9761"/>
    <w:rsid w:val="3E1E4D68"/>
    <w:rsid w:val="3E4E43DB"/>
    <w:rsid w:val="3EDB8CD3"/>
    <w:rsid w:val="3F342976"/>
    <w:rsid w:val="3F8298AD"/>
    <w:rsid w:val="40E3C696"/>
    <w:rsid w:val="418FA34F"/>
    <w:rsid w:val="41D69C2D"/>
    <w:rsid w:val="42A85985"/>
    <w:rsid w:val="43090D26"/>
    <w:rsid w:val="448CF651"/>
    <w:rsid w:val="4533C94C"/>
    <w:rsid w:val="4565F441"/>
    <w:rsid w:val="459E5252"/>
    <w:rsid w:val="467BE860"/>
    <w:rsid w:val="4699EA20"/>
    <w:rsid w:val="46B62BED"/>
    <w:rsid w:val="48CE09EA"/>
    <w:rsid w:val="48F36D53"/>
    <w:rsid w:val="4988FF13"/>
    <w:rsid w:val="49F01117"/>
    <w:rsid w:val="4A1F16D0"/>
    <w:rsid w:val="4A735C3C"/>
    <w:rsid w:val="4A923EA0"/>
    <w:rsid w:val="4B7761A3"/>
    <w:rsid w:val="4D254E0C"/>
    <w:rsid w:val="4FF175B7"/>
    <w:rsid w:val="5066FD59"/>
    <w:rsid w:val="52139018"/>
    <w:rsid w:val="52836E74"/>
    <w:rsid w:val="533730E2"/>
    <w:rsid w:val="537A3B4C"/>
    <w:rsid w:val="549233B9"/>
    <w:rsid w:val="5742E56C"/>
    <w:rsid w:val="5791C74A"/>
    <w:rsid w:val="579B55E8"/>
    <w:rsid w:val="57E87397"/>
    <w:rsid w:val="581DE92B"/>
    <w:rsid w:val="5897570A"/>
    <w:rsid w:val="58C7EC8A"/>
    <w:rsid w:val="59B929EC"/>
    <w:rsid w:val="5ABC000B"/>
    <w:rsid w:val="5B495FE0"/>
    <w:rsid w:val="5B9FF2E4"/>
    <w:rsid w:val="5BC6FDD6"/>
    <w:rsid w:val="5D849029"/>
    <w:rsid w:val="5DE5152F"/>
    <w:rsid w:val="5E170909"/>
    <w:rsid w:val="5E9A8B8A"/>
    <w:rsid w:val="60DCF2F9"/>
    <w:rsid w:val="6170A975"/>
    <w:rsid w:val="61CC6F5B"/>
    <w:rsid w:val="61E35A6F"/>
    <w:rsid w:val="62D8C4CD"/>
    <w:rsid w:val="63024F17"/>
    <w:rsid w:val="641BB026"/>
    <w:rsid w:val="647542C6"/>
    <w:rsid w:val="64CA9807"/>
    <w:rsid w:val="65FFD082"/>
    <w:rsid w:val="67713D34"/>
    <w:rsid w:val="67E17B80"/>
    <w:rsid w:val="6825B000"/>
    <w:rsid w:val="687419BF"/>
    <w:rsid w:val="68C1508B"/>
    <w:rsid w:val="68C6255C"/>
    <w:rsid w:val="68FFCBEB"/>
    <w:rsid w:val="6A56DD46"/>
    <w:rsid w:val="6B02619A"/>
    <w:rsid w:val="6BC4BC90"/>
    <w:rsid w:val="6C56BF4C"/>
    <w:rsid w:val="6C5D0BA8"/>
    <w:rsid w:val="6C6A131B"/>
    <w:rsid w:val="6C6EF3BC"/>
    <w:rsid w:val="6CC23BE2"/>
    <w:rsid w:val="6CCE67D9"/>
    <w:rsid w:val="6D0B3415"/>
    <w:rsid w:val="6DB86AEF"/>
    <w:rsid w:val="6DCD421C"/>
    <w:rsid w:val="6F0EB879"/>
    <w:rsid w:val="6F192056"/>
    <w:rsid w:val="6F455FF7"/>
    <w:rsid w:val="7029F1FA"/>
    <w:rsid w:val="71093F1D"/>
    <w:rsid w:val="712845A6"/>
    <w:rsid w:val="7186BB46"/>
    <w:rsid w:val="71BD8E4A"/>
    <w:rsid w:val="72035D30"/>
    <w:rsid w:val="72172BE0"/>
    <w:rsid w:val="737F3863"/>
    <w:rsid w:val="74A6A1E4"/>
    <w:rsid w:val="74C8BB9C"/>
    <w:rsid w:val="75E1A639"/>
    <w:rsid w:val="76281D76"/>
    <w:rsid w:val="76C31FCD"/>
    <w:rsid w:val="76F96642"/>
    <w:rsid w:val="77140BE2"/>
    <w:rsid w:val="780401B3"/>
    <w:rsid w:val="78E08EDA"/>
    <w:rsid w:val="7959F37E"/>
    <w:rsid w:val="79FF70EC"/>
    <w:rsid w:val="7A2DD2AE"/>
    <w:rsid w:val="7AEA3A9F"/>
    <w:rsid w:val="7B3323DE"/>
    <w:rsid w:val="7BFB1BEE"/>
    <w:rsid w:val="7C3D9E5E"/>
    <w:rsid w:val="7D297681"/>
    <w:rsid w:val="7D618977"/>
    <w:rsid w:val="7D9F0BAA"/>
    <w:rsid w:val="7DA52211"/>
    <w:rsid w:val="7DC81A69"/>
    <w:rsid w:val="7E5FC8E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left="1080"/>
    </w:pPr>
    <w:rPr>
      <w:rFonts w:ascii="Arial" w:hAnsi="Arial" w:eastAsia="Times New Roman" w:cs="Times New Roman"/>
      <w:spacing w:val="-5"/>
      <w:lang w:val="en-GB" w:eastAsia="en-US" w:bidi="ar-SA"/>
    </w:rPr>
  </w:style>
  <w:style w:type="paragraph" w:styleId="2">
    <w:name w:val="heading 1"/>
    <w:basedOn w:val="1"/>
    <w:next w:val="1"/>
    <w:qFormat/>
    <w:uiPriority w:val="0"/>
    <w:pPr>
      <w:keepNext/>
      <w:spacing w:before="240" w:after="60"/>
      <w:outlineLvl w:val="0"/>
    </w:pPr>
    <w:rPr>
      <w:rFonts w:cs="Arial"/>
      <w:b/>
      <w:bCs/>
      <w:kern w:val="32"/>
      <w:sz w:val="32"/>
      <w:szCs w:val="32"/>
    </w:rPr>
  </w:style>
  <w:style w:type="paragraph" w:styleId="3">
    <w:name w:val="heading 2"/>
    <w:basedOn w:val="1"/>
    <w:next w:val="1"/>
    <w:qFormat/>
    <w:uiPriority w:val="0"/>
    <w:pPr>
      <w:keepNext/>
      <w:ind w:left="0"/>
      <w:outlineLvl w:val="1"/>
    </w:pPr>
    <w:rPr>
      <w:u w:val="single"/>
    </w:rPr>
  </w:style>
  <w:style w:type="paragraph" w:styleId="4">
    <w:name w:val="heading 3"/>
    <w:basedOn w:val="1"/>
    <w:next w:val="1"/>
    <w:qFormat/>
    <w:uiPriority w:val="0"/>
    <w:pPr>
      <w:keepNext/>
      <w:numPr>
        <w:ilvl w:val="0"/>
        <w:numId w:val="1"/>
      </w:numPr>
      <w:outlineLvl w:val="2"/>
    </w:pPr>
    <w:rPr>
      <w:b/>
      <w:bCs/>
    </w:rPr>
  </w:style>
  <w:style w:type="paragraph" w:styleId="5">
    <w:name w:val="heading 4"/>
    <w:basedOn w:val="1"/>
    <w:next w:val="1"/>
    <w:qFormat/>
    <w:uiPriority w:val="0"/>
    <w:pPr>
      <w:keepNext/>
      <w:ind w:left="0"/>
      <w:outlineLvl w:val="3"/>
    </w:pPr>
    <w:rPr>
      <w:b/>
      <w:bCs/>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8">
    <w:name w:val="Balloon Text"/>
    <w:basedOn w:val="1"/>
    <w:semiHidden/>
    <w:qFormat/>
    <w:uiPriority w:val="0"/>
    <w:rPr>
      <w:rFonts w:ascii="Tahoma" w:hAnsi="Tahoma" w:cs="Tahoma"/>
      <w:sz w:val="16"/>
      <w:szCs w:val="16"/>
    </w:rPr>
  </w:style>
  <w:style w:type="paragraph" w:styleId="9">
    <w:name w:val="Body Text"/>
    <w:basedOn w:val="1"/>
    <w:qFormat/>
    <w:uiPriority w:val="0"/>
    <w:pPr>
      <w:spacing w:after="120"/>
    </w:pPr>
  </w:style>
  <w:style w:type="paragraph" w:styleId="10">
    <w:name w:val="Body Text Indent"/>
    <w:basedOn w:val="1"/>
    <w:qFormat/>
    <w:uiPriority w:val="0"/>
    <w:pPr>
      <w:ind w:left="720" w:hanging="720"/>
    </w:pPr>
  </w:style>
  <w:style w:type="paragraph" w:styleId="11">
    <w:name w:val="Body Text Indent 3"/>
    <w:basedOn w:val="1"/>
    <w:link w:val="34"/>
    <w:qFormat/>
    <w:uiPriority w:val="0"/>
    <w:pPr>
      <w:spacing w:after="120"/>
      <w:ind w:left="360"/>
    </w:pPr>
    <w:rPr>
      <w:sz w:val="16"/>
      <w:szCs w:val="16"/>
    </w:rPr>
  </w:style>
  <w:style w:type="character" w:styleId="12">
    <w:name w:val="annotation reference"/>
    <w:qFormat/>
    <w:uiPriority w:val="0"/>
    <w:rPr>
      <w:sz w:val="16"/>
      <w:szCs w:val="16"/>
    </w:rPr>
  </w:style>
  <w:style w:type="paragraph" w:styleId="13">
    <w:name w:val="annotation text"/>
    <w:basedOn w:val="1"/>
    <w:link w:val="29"/>
    <w:qFormat/>
    <w:uiPriority w:val="0"/>
    <w:rPr>
      <w:lang w:val="zh-CN"/>
    </w:rPr>
  </w:style>
  <w:style w:type="paragraph" w:styleId="14">
    <w:name w:val="annotation subject"/>
    <w:basedOn w:val="13"/>
    <w:next w:val="13"/>
    <w:link w:val="30"/>
    <w:qFormat/>
    <w:uiPriority w:val="0"/>
    <w:rPr>
      <w:b/>
      <w:bCs/>
    </w:rPr>
  </w:style>
  <w:style w:type="character" w:styleId="15">
    <w:name w:val="Emphasis"/>
    <w:qFormat/>
    <w:uiPriority w:val="20"/>
    <w:rPr>
      <w:i/>
      <w:iCs/>
    </w:rPr>
  </w:style>
  <w:style w:type="character" w:styleId="16">
    <w:name w:val="endnote reference"/>
    <w:qFormat/>
    <w:uiPriority w:val="0"/>
    <w:rPr>
      <w:vertAlign w:val="superscript"/>
    </w:rPr>
  </w:style>
  <w:style w:type="paragraph" w:styleId="17">
    <w:name w:val="endnote text"/>
    <w:basedOn w:val="1"/>
    <w:link w:val="35"/>
    <w:qFormat/>
    <w:uiPriority w:val="0"/>
  </w:style>
  <w:style w:type="paragraph" w:styleId="18">
    <w:name w:val="footer"/>
    <w:basedOn w:val="1"/>
    <w:link w:val="33"/>
    <w:qFormat/>
    <w:uiPriority w:val="99"/>
    <w:pPr>
      <w:tabs>
        <w:tab w:val="center" w:pos="4320"/>
        <w:tab w:val="right" w:pos="8640"/>
      </w:tabs>
    </w:pPr>
  </w:style>
  <w:style w:type="character" w:styleId="19">
    <w:name w:val="footnote reference"/>
    <w:qFormat/>
    <w:uiPriority w:val="0"/>
    <w:rPr>
      <w:vertAlign w:val="superscript"/>
    </w:rPr>
  </w:style>
  <w:style w:type="paragraph" w:styleId="20">
    <w:name w:val="footnote text"/>
    <w:basedOn w:val="1"/>
    <w:link w:val="36"/>
    <w:qFormat/>
    <w:uiPriority w:val="0"/>
  </w:style>
  <w:style w:type="paragraph" w:styleId="21">
    <w:name w:val="header"/>
    <w:basedOn w:val="1"/>
    <w:qFormat/>
    <w:uiPriority w:val="0"/>
    <w:pPr>
      <w:tabs>
        <w:tab w:val="center" w:pos="4320"/>
        <w:tab w:val="right" w:pos="8640"/>
      </w:tabs>
    </w:pPr>
  </w:style>
  <w:style w:type="character" w:styleId="22">
    <w:name w:val="Hyperlink"/>
    <w:qFormat/>
    <w:uiPriority w:val="0"/>
    <w:rPr>
      <w:color w:val="0000FF"/>
      <w:u w:val="single"/>
    </w:rPr>
  </w:style>
  <w:style w:type="character" w:styleId="23">
    <w:name w:val="page number"/>
    <w:basedOn w:val="6"/>
    <w:qFormat/>
    <w:uiPriority w:val="0"/>
  </w:style>
  <w:style w:type="table" w:styleId="24">
    <w:name w:val="Table Grid"/>
    <w:basedOn w:val="7"/>
    <w:qFormat/>
    <w:uiPriority w:val="0"/>
    <w:rPr>
      <w:rFonts w:ascii="Calibri" w:hAnsi="Calibri" w:eastAsia="Calibr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Company Name"/>
    <w:basedOn w:val="1"/>
    <w:qFormat/>
    <w:uiPriority w:val="0"/>
    <w:pPr>
      <w:keepNext/>
      <w:keepLines/>
      <w:spacing w:line="220" w:lineRule="atLeast"/>
      <w:ind w:left="0"/>
    </w:pPr>
    <w:rPr>
      <w:rFonts w:ascii="Arial Black" w:hAnsi="Arial Black"/>
      <w:spacing w:val="-25"/>
      <w:kern w:val="28"/>
      <w:sz w:val="32"/>
    </w:rPr>
  </w:style>
  <w:style w:type="paragraph" w:customStyle="1" w:styleId="26">
    <w:name w:val="Title Cover"/>
    <w:basedOn w:val="1"/>
    <w:next w:val="1"/>
    <w:qFormat/>
    <w:uiPriority w:val="0"/>
    <w:pPr>
      <w:keepNext/>
      <w:keepLines/>
      <w:pBdr>
        <w:top w:val="single" w:color="auto" w:sz="48" w:space="31"/>
      </w:pBdr>
      <w:tabs>
        <w:tab w:val="left" w:pos="0"/>
      </w:tabs>
      <w:spacing w:before="240" w:after="500" w:line="640" w:lineRule="exact"/>
      <w:ind w:left="0"/>
    </w:pPr>
    <w:rPr>
      <w:rFonts w:ascii="Arial Black" w:hAnsi="Arial Black"/>
      <w:b/>
      <w:spacing w:val="-48"/>
      <w:kern w:val="28"/>
      <w:sz w:val="64"/>
    </w:rPr>
  </w:style>
  <w:style w:type="paragraph" w:customStyle="1" w:styleId="27">
    <w:name w:val="Return Address"/>
    <w:basedOn w:val="1"/>
    <w:qFormat/>
    <w:uiPriority w:val="0"/>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28">
    <w:name w:val="Subtitle Cover"/>
    <w:basedOn w:val="26"/>
    <w:next w:val="9"/>
    <w:qFormat/>
    <w:uiPriority w:val="0"/>
    <w:pPr>
      <w:pBdr>
        <w:top w:val="single" w:color="auto" w:sz="6" w:space="24"/>
      </w:pBdr>
      <w:tabs>
        <w:tab w:val="clear" w:pos="0"/>
      </w:tabs>
      <w:spacing w:before="0" w:after="0" w:line="480" w:lineRule="atLeast"/>
      <w:ind w:left="835" w:right="835"/>
    </w:pPr>
    <w:rPr>
      <w:rFonts w:ascii="Arial" w:hAnsi="Arial"/>
      <w:b w:val="0"/>
      <w:spacing w:val="-30"/>
      <w:sz w:val="48"/>
    </w:rPr>
  </w:style>
  <w:style w:type="character" w:customStyle="1" w:styleId="29">
    <w:name w:val="Comment Text Char"/>
    <w:link w:val="13"/>
    <w:qFormat/>
    <w:uiPriority w:val="0"/>
    <w:rPr>
      <w:rFonts w:ascii="Arial" w:hAnsi="Arial"/>
      <w:spacing w:val="-5"/>
      <w:lang w:eastAsia="en-US"/>
    </w:rPr>
  </w:style>
  <w:style w:type="character" w:customStyle="1" w:styleId="30">
    <w:name w:val="Comment Subject Char"/>
    <w:link w:val="14"/>
    <w:qFormat/>
    <w:uiPriority w:val="0"/>
    <w:rPr>
      <w:rFonts w:ascii="Arial" w:hAnsi="Arial"/>
      <w:b/>
      <w:bCs/>
      <w:spacing w:val="-5"/>
      <w:lang w:eastAsia="en-US"/>
    </w:rPr>
  </w:style>
  <w:style w:type="paragraph" w:styleId="31">
    <w:name w:val="List Paragraph"/>
    <w:basedOn w:val="1"/>
    <w:autoRedefine/>
    <w:qFormat/>
    <w:uiPriority w:val="34"/>
    <w:pPr>
      <w:numPr>
        <w:ilvl w:val="0"/>
        <w:numId w:val="2"/>
      </w:numPr>
      <w:spacing w:after="200"/>
      <w:contextualSpacing/>
      <w:jc w:val="both"/>
    </w:pPr>
    <w:rPr>
      <w:rFonts w:ascii="Calibri" w:hAnsi="Calibri" w:eastAsia="Calibri" w:cs="Calibri"/>
      <w:color w:val="000000" w:themeColor="text1"/>
      <w:spacing w:val="0"/>
      <w:sz w:val="22"/>
      <w:szCs w:val="22"/>
      <w:lang w:val="pt-PT"/>
      <w14:textFill>
        <w14:solidFill>
          <w14:schemeClr w14:val="tx1"/>
        </w14:solidFill>
      </w14:textFill>
    </w:rPr>
  </w:style>
  <w:style w:type="paragraph" w:customStyle="1" w:styleId="32">
    <w:name w:val="Revision1"/>
    <w:hidden/>
    <w:semiHidden/>
    <w:qFormat/>
    <w:uiPriority w:val="99"/>
    <w:rPr>
      <w:rFonts w:ascii="Arial" w:hAnsi="Arial" w:eastAsia="Times New Roman" w:cs="Times New Roman"/>
      <w:spacing w:val="-5"/>
      <w:lang w:val="en-GB" w:eastAsia="en-US" w:bidi="ar-SA"/>
    </w:rPr>
  </w:style>
  <w:style w:type="character" w:customStyle="1" w:styleId="33">
    <w:name w:val="Footer Char"/>
    <w:link w:val="18"/>
    <w:qFormat/>
    <w:uiPriority w:val="99"/>
    <w:rPr>
      <w:rFonts w:ascii="Arial" w:hAnsi="Arial"/>
      <w:spacing w:val="-5"/>
      <w:lang w:eastAsia="en-US"/>
    </w:rPr>
  </w:style>
  <w:style w:type="character" w:customStyle="1" w:styleId="34">
    <w:name w:val="Body Text Indent 3 Char"/>
    <w:link w:val="11"/>
    <w:qFormat/>
    <w:uiPriority w:val="0"/>
    <w:rPr>
      <w:rFonts w:ascii="Arial" w:hAnsi="Arial"/>
      <w:spacing w:val="-5"/>
      <w:sz w:val="16"/>
      <w:szCs w:val="16"/>
      <w:lang w:val="en-GB"/>
    </w:rPr>
  </w:style>
  <w:style w:type="character" w:customStyle="1" w:styleId="35">
    <w:name w:val="Endnote Text Char"/>
    <w:link w:val="17"/>
    <w:qFormat/>
    <w:uiPriority w:val="0"/>
    <w:rPr>
      <w:rFonts w:ascii="Arial" w:hAnsi="Arial"/>
      <w:spacing w:val="-5"/>
      <w:lang w:eastAsia="en-US"/>
    </w:rPr>
  </w:style>
  <w:style w:type="character" w:customStyle="1" w:styleId="36">
    <w:name w:val="Footnote Text Char"/>
    <w:link w:val="20"/>
    <w:qFormat/>
    <w:uiPriority w:val="0"/>
    <w:rPr>
      <w:rFonts w:ascii="Arial" w:hAnsi="Arial"/>
      <w:spacing w:val="-5"/>
      <w:lang w:eastAsia="en-US"/>
    </w:rPr>
  </w:style>
  <w:style w:type="character" w:customStyle="1" w:styleId="37">
    <w:name w:val="st"/>
    <w:qFormat/>
    <w:uiPriority w:val="0"/>
  </w:style>
  <w:style w:type="character" w:styleId="38">
    <w:name w:val="Placeholder Text"/>
    <w:basedOn w:val="6"/>
    <w:semiHidden/>
    <w:qFormat/>
    <w:uiPriority w:val="99"/>
    <w:rPr>
      <w:color w:val="666666"/>
    </w:rPr>
  </w:style>
  <w:style w:type="character" w:customStyle="1" w:styleId="39">
    <w:name w:val="Mention1"/>
    <w:basedOn w:val="6"/>
    <w:unhideWhenUsed/>
    <w:qFormat/>
    <w:uiPriority w:val="99"/>
    <w:rPr>
      <w:color w:val="2B579A"/>
      <w:shd w:val="clear" w:color="auto" w:fill="E1DFDD"/>
    </w:rPr>
  </w:style>
  <w:style w:type="paragraph" w:customStyle="1" w:styleId="40">
    <w:name w:val="Revision"/>
    <w:hidden/>
    <w:unhideWhenUsed/>
    <w:qFormat/>
    <w:uiPriority w:val="99"/>
    <w:rPr>
      <w:rFonts w:ascii="Arial" w:hAnsi="Arial" w:eastAsia="Times New Roman" w:cs="Times New Roman"/>
      <w:spacing w:val="-5"/>
      <w:lang w:val="en-GB"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6.xml"/><Relationship Id="rId13" Type="http://schemas.openxmlformats.org/officeDocument/2006/relationships/customXml" Target="../customXml/item5.xml"/><Relationship Id="rId12" Type="http://schemas.openxmlformats.org/officeDocument/2006/relationships/customXml" Target="../customXml/item4.xml"/><Relationship Id="rId11" Type="http://schemas.openxmlformats.org/officeDocument/2006/relationships/customXml" Target="../customXml/item3.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Malaria Consortium Document" ma:contentTypeID="0x0101001D5646EEDBA3214EB36B225F0D3F764600F2C1598641CBBE43B3069AE860C30ED2" ma:contentTypeVersion="18" ma:contentTypeDescription="Content type for all other documents on the site. These are general documents that do not require control." ma:contentTypeScope="" ma:versionID="3c916974ad8f8c0dcb1087a30e3c9911">
  <xsd:schema xmlns:xsd="http://www.w3.org/2001/XMLSchema" xmlns:xs="http://www.w3.org/2001/XMLSchema" xmlns:p="http://schemas.microsoft.com/office/2006/metadata/properties" xmlns:ns2="446d9c23-33c1-4aaa-b610-0b49484beeba" xmlns:ns5="9b727ab5-a7cb-4f11-8bca-5e8d6323fcba" targetNamespace="http://schemas.microsoft.com/office/2006/metadata/properties" ma:root="true" ma:fieldsID="29d33780af5e5632be91a641b63cb120" ns2:_="" ns5:_="">
    <xsd:import namespace="446d9c23-33c1-4aaa-b610-0b49484beeba"/>
    <xsd:import namespace="9b727ab5-a7cb-4f11-8bca-5e8d6323fcba"/>
    <xsd:element name="properties">
      <xsd:complexType>
        <xsd:sequence>
          <xsd:element name="documentManagement">
            <xsd:complexType>
              <xsd:all>
                <xsd:element ref="ns2:Knowledge_x0020_Base_x0020_Status" minOccurs="0"/>
                <xsd:element ref="ns2:General_x0020_Document_x0020_Type" minOccurs="0"/>
                <xsd:element ref="ns2:Location_x0028_s_x0029_" minOccurs="0"/>
                <xsd:element ref="ns2:Function_x0028_s_x0029_" minOccurs="0"/>
                <xsd:element ref="ns2:Classification_x0028_s_x0029_" minOccurs="0"/>
                <xsd:element ref="ns2:Language_x0028_s_x0029_" minOccurs="0"/>
                <xsd:element ref="ns2:h07063d4a6c74212ab877aa424a1f7d6" minOccurs="0"/>
                <xsd:element ref="ns2:d51732ba3bba4342a416b429b6a40b0b" minOccurs="0"/>
                <xsd:element ref="ns2:TaxCatchAll" minOccurs="0"/>
                <xsd:element ref="ns2:TaxCatchAllLabel" minOccurs="0"/>
                <xsd:element ref="ns2:j49f4a525f6a4ed2b6a5dca880bae675" minOccurs="0"/>
                <xsd:element ref="ns5:MediaServiceMetadata" minOccurs="0"/>
                <xsd:element ref="ns5:MediaServiceFastMetadata" minOccurs="0"/>
                <xsd:element ref="ns5:MediaServiceDateTaken" minOccurs="0"/>
                <xsd:element ref="ns5:MediaServiceAutoTags" minOccurs="0"/>
                <xsd:element ref="ns2:SharedWithUsers" minOccurs="0"/>
                <xsd:element ref="ns2:SharedWithDetails" minOccurs="0"/>
                <xsd:element ref="ns5:MediaServiceOCR" minOccurs="0"/>
                <xsd:element ref="ns5:MediaServiceGenerationTime" minOccurs="0"/>
                <xsd:element ref="ns5:MediaServiceEventHashCode" minOccurs="0"/>
                <xsd:element ref="ns5:MediaServiceLocation" minOccurs="0"/>
                <xsd:element ref="ns5:MediaServiceAutoKeyPoints" minOccurs="0"/>
                <xsd:element ref="ns5:MediaServiceKeyPoints" minOccurs="0"/>
                <xsd:element ref="ns5:MediaServiceSearchProperties" minOccurs="0"/>
                <xsd:element ref="ns5:lcf76f155ced4ddcb4097134ff3c332f" minOccurs="0"/>
                <xsd:element ref="ns5:MediaServiceObjectDetectorVersions"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General_x0020_Document_x0020_Type" ma:index="3" nillable="true" ma:displayName="General Document Type" ma:format="Dropdown" ma:internalName="General_x0020_Document_x0020_Type">
      <xsd:simpleType>
        <xsd:restriction base="dms:Choice">
          <xsd:enumeration value="Agenda"/>
          <xsd:enumeration value="Audio"/>
          <xsd:enumeration value="Budget"/>
          <xsd:enumeration value="Contract"/>
          <xsd:enumeration value="Data"/>
          <xsd:enumeration value="Form"/>
          <xsd:enumeration value="Manual"/>
          <xsd:enumeration value="Minutes"/>
          <xsd:enumeration value="Plan"/>
          <xsd:enumeration value="Policy"/>
          <xsd:enumeration value="Process"/>
          <xsd:enumeration value="Proposal"/>
          <xsd:enumeration value="Publication"/>
          <xsd:enumeration value="Report"/>
          <xsd:enumeration value="Requirements"/>
          <xsd:enumeration value="Template"/>
          <xsd:enumeration value="Training"/>
          <xsd:enumeration value="Video"/>
        </xsd:restriction>
      </xsd:simpleType>
    </xsd:element>
    <xsd:element name="Location_x0028_s_x0029_" ma:index="4"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5"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6"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ive Staff Records"/>
          <xsd:enumeration value="Restrictive Strategic"/>
        </xsd:restriction>
      </xsd:simpleType>
    </xsd:element>
    <xsd:element name="Language_x0028_s_x0029_" ma:index="7"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h07063d4a6c74212ab877aa424a1f7d6" ma:index="12" nillable="true" ma:taxonomy="true" ma:internalName="h07063d4a6c74212ab877aa424a1f7d6" ma:taxonomyFieldName="Diseases" ma:displayName="Diseases" ma:readOnly="false" ma:default="" ma:fieldId="{107063d4-a6c7-4212-ab87-7aa424a1f7d6}" ma:taxonomyMulti="true" ma:sspId="0c4f23ce-abd6-4fbe-ba55-9ba9bb7442d8" ma:termSetId="4ece0d02-a915-426b-8586-b8b7860cdff3" ma:anchorId="00000000-0000-0000-0000-000000000000" ma:open="false" ma:isKeyword="false">
      <xsd:complexType>
        <xsd:sequence>
          <xsd:element ref="pc:Terms" minOccurs="0" maxOccurs="1"/>
        </xsd:sequence>
      </xsd:complexType>
    </xsd:element>
    <xsd:element name="d51732ba3bba4342a416b429b6a40b0b" ma:index="14" nillable="true" ma:taxonomy="true" ma:internalName="d51732ba3bba4342a416b429b6a40b0b" ma:taxonomyFieldName="Tools_x0020_and_x0020_Techniques" ma:displayName="Tools and Techniques" ma:readOnly="false" ma:default="" ma:fieldId="{d51732ba-3bba-4342-a416-b429b6a40b0b}" ma:taxonomyMulti="true" ma:sspId="0c4f23ce-abd6-4fbe-ba55-9ba9bb7442d8" ma:termSetId="178e11fd-d4ce-402e-b760-9e71f48154fd"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j49f4a525f6a4ed2b6a5dca880bae675" ma:index="22" nillable="true" ma:taxonomy="true" ma:internalName="j49f4a525f6a4ed2b6a5dca880bae675" ma:taxonomyFieldName="Project" ma:displayName="Project" ma:default="" ma:fieldId="{349f4a52-5f6a-4ed2-b6a5-dca880bae675}" ma:sspId="0c4f23ce-abd6-4fbe-ba55-9ba9bb7442d8" ma:termSetId="2b6b6760-1471-429e-a151-4284c2311bfb" ma:anchorId="00000000-0000-0000-0000-000000000000" ma:open="false" ma:isKeyword="false">
      <xsd:complexType>
        <xsd:sequence>
          <xsd:element ref="pc:Terms" minOccurs="0" maxOccurs="1"/>
        </xsd:sequence>
      </xsd:complexType>
    </xsd:element>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b727ab5-a7cb-4f11-8bca-5e8d6323fcba" elementFormDefault="qualified">
    <xsd:import namespace="http://schemas.microsoft.com/office/2006/documentManagement/types"/>
    <xsd:import namespace="http://schemas.microsoft.com/office/infopath/2007/PartnerControls"/>
    <xsd:element name="MediaServiceMetadata" ma:index="27" nillable="true" ma:displayName="MediaServiceMetadata" ma:description="" ma:hidden="true" ma:internalName="MediaServiceMetadata" ma:readOnly="true">
      <xsd:simpleType>
        <xsd:restriction base="dms:Note"/>
      </xsd:simpleType>
    </xsd:element>
    <xsd:element name="MediaServiceFastMetadata" ma:index="28" nillable="true" ma:displayName="MediaServiceFastMetadata" ma:description="" ma:hidden="true" ma:internalName="MediaServiceFastMetadata" ma:readOnly="true">
      <xsd:simpleType>
        <xsd:restriction base="dms:Note"/>
      </xsd:simpleType>
    </xsd:element>
    <xsd:element name="MediaServiceDateTaken" ma:index="29" nillable="true" ma:displayName="MediaServiceDateTaken" ma:description="" ma:hidden="true" ma:internalName="MediaServiceDateTaken" ma:readOnly="true">
      <xsd:simpleType>
        <xsd:restriction base="dms:Text"/>
      </xsd:simpleType>
    </xsd:element>
    <xsd:element name="MediaServiceAutoTags" ma:index="30" nillable="true" ma:displayName="MediaServiceAutoTags" ma:description=""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Location" ma:index="36" nillable="true" ma:displayName="Location" ma:internalName="MediaServiceLocation" ma:readOnly="true">
      <xsd:simpleType>
        <xsd:restriction base="dms:Text"/>
      </xsd:simpleType>
    </xsd:element>
    <xsd:element name="MediaServiceAutoKeyPoints" ma:index="37" nillable="true" ma:displayName="MediaServiceAutoKeyPoints" ma:hidden="true" ma:internalName="MediaServiceAutoKeyPoints" ma:readOnly="true">
      <xsd:simpleType>
        <xsd:restriction base="dms:Note"/>
      </xsd:simpleType>
    </xsd:element>
    <xsd:element name="MediaServiceKeyPoints" ma:index="38" nillable="true" ma:displayName="KeyPoints" ma:internalName="MediaServiceKeyPoints" ma:readOnly="true">
      <xsd:simpleType>
        <xsd:restriction base="dms:Note">
          <xsd:maxLength value="255"/>
        </xsd:restriction>
      </xsd:simpleType>
    </xsd:element>
    <xsd:element name="MediaServiceSearchProperties" ma:index="39" nillable="true" ma:displayName="MediaServiceSearchProperties" ma:hidden="true" ma:internalName="MediaServiceSearchProperties" ma:readOnly="true">
      <xsd:simpleType>
        <xsd:restriction base="dms:Note"/>
      </xsd:simpleType>
    </xsd:element>
    <xsd:element name="lcf76f155ced4ddcb4097134ff3c332f" ma:index="41" nillable="true" ma:taxonomy="true" ma:internalName="lcf76f155ced4ddcb4097134ff3c332f" ma:taxonomyFieldName="MediaServiceImageTags" ma:displayName="Image Tags" ma:readOnly="false" ma:fieldId="{5cf76f15-5ced-4ddc-b409-7134ff3c332f}" ma:taxonomyMulti="true" ma:sspId="0c4f23ce-abd6-4fbe-ba55-9ba9bb7442d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2" nillable="true" ma:displayName="MediaServiceObjectDetectorVersions" ma:hidden="true" ma:indexed="true" ma:internalName="MediaServiceObjectDetectorVersions" ma:readOnly="true">
      <xsd:simpleType>
        <xsd:restriction base="dms:Text"/>
      </xsd:simpleType>
    </xsd:element>
    <xsd:element name="MediaLengthInSeconds" ma:index="4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1" ma:displayName="Author"/>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Classification_x0028_s_x0029_ xmlns="446d9c23-33c1-4aaa-b610-0b49484beeba">Restricted Commercial</Classification_x0028_s_x0029_>
    <Knowledge_x0020_Base_x0020_Status xmlns="446d9c23-33c1-4aaa-b610-0b49484beeba">Display in Knowledge Base for all users</Knowledge_x0020_Base_x0020_Status>
    <lcf76f155ced4ddcb4097134ff3c332f xmlns="9b727ab5-a7cb-4f11-8bca-5e8d6323fcba">
      <Terms xmlns="http://schemas.microsoft.com/office/infopath/2007/PartnerControls"/>
    </lcf76f155ced4ddcb4097134ff3c332f>
    <h07063d4a6c74212ab877aa424a1f7d6 xmlns="446d9c23-33c1-4aaa-b610-0b49484beeba">
      <Terms xmlns="http://schemas.microsoft.com/office/infopath/2007/PartnerControls"/>
    </h07063d4a6c74212ab877aa424a1f7d6>
    <d51732ba3bba4342a416b429b6a40b0b xmlns="446d9c23-33c1-4aaa-b610-0b49484beeba">
      <Terms xmlns="http://schemas.microsoft.com/office/infopath/2007/PartnerControls"/>
    </d51732ba3bba4342a416b429b6a40b0b>
    <General_x0020_Document_x0020_Type xmlns="446d9c23-33c1-4aaa-b610-0b49484beeba" xsi:nil="true"/>
    <j49f4a525f6a4ed2b6a5dca880bae675 xmlns="446d9c23-33c1-4aaa-b610-0b49484beeba">
      <Terms xmlns="http://schemas.microsoft.com/office/infopath/2007/PartnerControls"/>
    </j49f4a525f6a4ed2b6a5dca880bae675>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DBBDC-F4B7-4177-81CD-43D20EF00FDE}">
  <ds:schemaRefs/>
</ds:datastoreItem>
</file>

<file path=customXml/itemProps3.xml><?xml version="1.0" encoding="utf-8"?>
<ds:datastoreItem xmlns:ds="http://schemas.openxmlformats.org/officeDocument/2006/customXml" ds:itemID="{C7BDFC9D-BBFB-4340-AC08-69E237575BBD}">
  <ds:schemaRefs/>
</ds:datastoreItem>
</file>

<file path=customXml/itemProps4.xml><?xml version="1.0" encoding="utf-8"?>
<ds:datastoreItem xmlns:ds="http://schemas.openxmlformats.org/officeDocument/2006/customXml" ds:itemID="{F67C5B33-E0F1-420C-B9DD-E45CEA3CDE53}">
  <ds:schemaRefs/>
</ds:datastoreItem>
</file>

<file path=customXml/itemProps5.xml><?xml version="1.0" encoding="utf-8"?>
<ds:datastoreItem xmlns:ds="http://schemas.openxmlformats.org/officeDocument/2006/customXml" ds:itemID="{25455DF2-1012-4387-BA21-F8DA4644D6AE}">
  <ds:schemaRefs/>
</ds:datastoreItem>
</file>

<file path=customXml/itemProps6.xml><?xml version="1.0" encoding="utf-8"?>
<ds:datastoreItem xmlns:ds="http://schemas.openxmlformats.org/officeDocument/2006/customXml" ds:itemID="{148149DF-03FB-496F-89CC-6F38F8F05F83}">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19</Pages>
  <Words>9735</Words>
  <Characters>55496</Characters>
  <Lines>462</Lines>
  <Paragraphs>130</Paragraphs>
  <TotalTime>57</TotalTime>
  <ScaleCrop>false</ScaleCrop>
  <LinksUpToDate>false</LinksUpToDate>
  <CharactersWithSpaces>65101</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2025-08-14T07:24:00Z</dcterms:created>
  <dc:creator>Alex Bornstein</dc:creator>
  <cp:lastModifiedBy>n.luis.18</cp:lastModifiedBy>
  <cp:lastPrinted>2005-07-04T10:54:00Z</cp:lastPrinted>
  <dcterms:modified xsi:type="dcterms:W3CDTF">2025-09-10T12:32:29Z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GrammarlyDocumentId">
    <vt:lpwstr>9e3f8f5f-cce9-42cb-972b-a0ca7cdc7a76</vt:lpwstr>
  </property>
  <property fmtid="{D5CDD505-2E9C-101B-9397-08002B2CF9AE}" pid="5" name="ContentTypeId">
    <vt:lpwstr>0x0101001D5646EEDBA3214EB36B225F0D3F764600F2C1598641CBBE43B3069AE860C30ED2</vt:lpwstr>
  </property>
  <property fmtid="{D5CDD505-2E9C-101B-9397-08002B2CF9AE}" pid="6" name="Project">
    <vt:lpwstr/>
  </property>
  <property fmtid="{D5CDD505-2E9C-101B-9397-08002B2CF9AE}" pid="7" name="MediaServiceImageTags">
    <vt:lpwstr/>
  </property>
  <property fmtid="{D5CDD505-2E9C-101B-9397-08002B2CF9AE}" pid="8" name="Tools_x0020_and_x0020_Techniques">
    <vt:lpwstr/>
  </property>
  <property fmtid="{D5CDD505-2E9C-101B-9397-08002B2CF9AE}" pid="9" name="Tools and Techniques">
    <vt:lpwstr/>
  </property>
  <property fmtid="{D5CDD505-2E9C-101B-9397-08002B2CF9AE}" pid="10" name="Diseases">
    <vt:lpwstr/>
  </property>
  <property fmtid="{D5CDD505-2E9C-101B-9397-08002B2CF9AE}" pid="11" name="KSOProductBuildVer">
    <vt:lpwstr>1033-12.2.0.21931</vt:lpwstr>
  </property>
  <property fmtid="{D5CDD505-2E9C-101B-9397-08002B2CF9AE}" pid="12" name="ICV">
    <vt:lpwstr>1B4BE08500E14569B04F2639CD462AAD_13</vt:lpwstr>
  </property>
</Properties>
</file>