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E258B" w14:textId="56376B13" w:rsidR="00CF34A2" w:rsidRPr="006C07FA" w:rsidRDefault="006C07FA" w:rsidP="00B74DD5">
      <w:pPr>
        <w:pStyle w:val="Titre"/>
      </w:pPr>
      <w:r w:rsidRPr="006C07FA">
        <w:t>TERMES DE REFERENCES</w:t>
      </w:r>
    </w:p>
    <w:tbl>
      <w:tblPr>
        <w:tblStyle w:val="Grilledutableau"/>
        <w:tblpPr w:leftFromText="180" w:rightFromText="180" w:vertAnchor="page" w:horzAnchor="margin" w:tblpY="29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283"/>
        <w:gridCol w:w="6522"/>
      </w:tblGrid>
      <w:tr w:rsidR="00B74DD5" w:rsidRPr="005E13FC" w14:paraId="00F859A6" w14:textId="77777777" w:rsidTr="00B74DD5">
        <w:tc>
          <w:tcPr>
            <w:tcW w:w="2257" w:type="dxa"/>
          </w:tcPr>
          <w:p w14:paraId="6B14FCC8" w14:textId="77777777" w:rsidR="00B74DD5" w:rsidRPr="004C063C" w:rsidRDefault="00B74DD5" w:rsidP="00B74DD5">
            <w:pPr>
              <w:jc w:val="both"/>
              <w:rPr>
                <w:b/>
                <w:bCs/>
                <w:color w:val="124F1A" w:themeColor="accent3" w:themeShade="BF"/>
                <w:lang w:val="fr-FR"/>
              </w:rPr>
            </w:pPr>
            <w:r w:rsidRPr="004C063C">
              <w:rPr>
                <w:b/>
                <w:bCs/>
                <w:color w:val="124F1A" w:themeColor="accent3" w:themeShade="BF"/>
                <w:lang w:val="fr-FR"/>
              </w:rPr>
              <w:t>Titre</w:t>
            </w:r>
          </w:p>
        </w:tc>
        <w:tc>
          <w:tcPr>
            <w:tcW w:w="283" w:type="dxa"/>
          </w:tcPr>
          <w:p w14:paraId="1F32834A" w14:textId="77777777" w:rsidR="00B74DD5" w:rsidRPr="005E13FC" w:rsidRDefault="00B74DD5" w:rsidP="00B74DD5">
            <w:pPr>
              <w:jc w:val="both"/>
              <w:rPr>
                <w:lang w:val="fr-FR"/>
              </w:rPr>
            </w:pPr>
            <w:r w:rsidRPr="005E13FC">
              <w:rPr>
                <w:lang w:val="fr-FR"/>
              </w:rPr>
              <w:t>:</w:t>
            </w:r>
          </w:p>
        </w:tc>
        <w:tc>
          <w:tcPr>
            <w:tcW w:w="6522" w:type="dxa"/>
          </w:tcPr>
          <w:p w14:paraId="6FE36075" w14:textId="77777777" w:rsidR="00B74DD5" w:rsidRPr="005E13FC" w:rsidRDefault="00B74DD5" w:rsidP="00B74DD5">
            <w:pPr>
              <w:jc w:val="both"/>
              <w:rPr>
                <w:lang w:val="fr-FR"/>
              </w:rPr>
            </w:pPr>
            <w:r w:rsidRPr="005E13FC">
              <w:rPr>
                <w:lang w:val="fr-FR"/>
              </w:rPr>
              <w:t>Enquête de couverture de la campagne de Chimioprévention du Paludisme Saisonnier 2026 au Burkina Faso</w:t>
            </w:r>
          </w:p>
        </w:tc>
      </w:tr>
      <w:tr w:rsidR="00B74DD5" w:rsidRPr="005E13FC" w14:paraId="1A69F0EC" w14:textId="77777777" w:rsidTr="00B74DD5">
        <w:tc>
          <w:tcPr>
            <w:tcW w:w="2257" w:type="dxa"/>
          </w:tcPr>
          <w:p w14:paraId="5293F392" w14:textId="77777777" w:rsidR="00B74DD5" w:rsidRPr="004C063C" w:rsidRDefault="00B74DD5" w:rsidP="00B74DD5">
            <w:pPr>
              <w:jc w:val="both"/>
              <w:rPr>
                <w:b/>
                <w:bCs/>
                <w:color w:val="124F1A" w:themeColor="accent3" w:themeShade="BF"/>
                <w:lang w:val="fr-FR"/>
              </w:rPr>
            </w:pPr>
            <w:r w:rsidRPr="004C063C">
              <w:rPr>
                <w:b/>
                <w:bCs/>
                <w:color w:val="124F1A" w:themeColor="accent3" w:themeShade="BF"/>
                <w:lang w:val="fr-FR"/>
              </w:rPr>
              <w:t>Projet</w:t>
            </w:r>
          </w:p>
        </w:tc>
        <w:tc>
          <w:tcPr>
            <w:tcW w:w="283" w:type="dxa"/>
          </w:tcPr>
          <w:p w14:paraId="10F3FFB6" w14:textId="77777777" w:rsidR="00B74DD5" w:rsidRPr="005E13FC" w:rsidRDefault="00B74DD5" w:rsidP="00B74DD5">
            <w:pPr>
              <w:jc w:val="both"/>
              <w:rPr>
                <w:lang w:val="fr-FR"/>
              </w:rPr>
            </w:pPr>
            <w:r w:rsidRPr="005E13FC">
              <w:rPr>
                <w:lang w:val="fr-FR"/>
              </w:rPr>
              <w:t>:</w:t>
            </w:r>
          </w:p>
        </w:tc>
        <w:tc>
          <w:tcPr>
            <w:tcW w:w="6522" w:type="dxa"/>
          </w:tcPr>
          <w:p w14:paraId="7BA5959F" w14:textId="77777777" w:rsidR="00B74DD5" w:rsidRPr="005E13FC" w:rsidRDefault="00B74DD5" w:rsidP="00B74DD5">
            <w:pPr>
              <w:jc w:val="both"/>
              <w:rPr>
                <w:lang w:val="fr-FR"/>
              </w:rPr>
            </w:pPr>
            <w:r w:rsidRPr="005E13FC">
              <w:rPr>
                <w:lang w:val="fr-FR"/>
              </w:rPr>
              <w:t>SMC (S3)</w:t>
            </w:r>
          </w:p>
        </w:tc>
      </w:tr>
      <w:tr w:rsidR="00B74DD5" w:rsidRPr="005E13FC" w14:paraId="32238FA1" w14:textId="77777777" w:rsidTr="00B74DD5">
        <w:tc>
          <w:tcPr>
            <w:tcW w:w="2257" w:type="dxa"/>
          </w:tcPr>
          <w:p w14:paraId="6D4C4075" w14:textId="77777777" w:rsidR="00B74DD5" w:rsidRPr="004C063C" w:rsidRDefault="00B74DD5" w:rsidP="00B74DD5">
            <w:pPr>
              <w:jc w:val="both"/>
              <w:rPr>
                <w:b/>
                <w:bCs/>
                <w:color w:val="124F1A" w:themeColor="accent3" w:themeShade="BF"/>
                <w:lang w:val="fr-FR"/>
              </w:rPr>
            </w:pPr>
            <w:r w:rsidRPr="004C063C">
              <w:rPr>
                <w:b/>
                <w:bCs/>
                <w:color w:val="124F1A" w:themeColor="accent3" w:themeShade="BF"/>
                <w:lang w:val="fr-FR"/>
              </w:rPr>
              <w:t>Lieu</w:t>
            </w:r>
          </w:p>
        </w:tc>
        <w:tc>
          <w:tcPr>
            <w:tcW w:w="283" w:type="dxa"/>
          </w:tcPr>
          <w:p w14:paraId="2151C796" w14:textId="77777777" w:rsidR="00B74DD5" w:rsidRPr="005E13FC" w:rsidRDefault="00B74DD5" w:rsidP="00B74DD5">
            <w:pPr>
              <w:jc w:val="both"/>
              <w:rPr>
                <w:lang w:val="fr-FR"/>
              </w:rPr>
            </w:pPr>
            <w:r w:rsidRPr="005E13FC">
              <w:rPr>
                <w:lang w:val="fr-FR"/>
              </w:rPr>
              <w:t>:</w:t>
            </w:r>
          </w:p>
        </w:tc>
        <w:tc>
          <w:tcPr>
            <w:tcW w:w="6522" w:type="dxa"/>
          </w:tcPr>
          <w:p w14:paraId="59627B5D" w14:textId="2D2627F8" w:rsidR="00B74DD5" w:rsidRPr="005E13FC" w:rsidRDefault="00B74DD5" w:rsidP="00B74DD5">
            <w:pPr>
              <w:jc w:val="both"/>
              <w:rPr>
                <w:lang w:val="fr-FR"/>
              </w:rPr>
            </w:pPr>
            <w:r w:rsidRPr="005E13FC">
              <w:rPr>
                <w:lang w:val="fr-FR"/>
              </w:rPr>
              <w:t>2</w:t>
            </w:r>
            <w:r w:rsidR="0067737C">
              <w:rPr>
                <w:lang w:val="fr-FR"/>
              </w:rPr>
              <w:t>9</w:t>
            </w:r>
            <w:r w:rsidRPr="005E13FC">
              <w:rPr>
                <w:lang w:val="fr-FR"/>
              </w:rPr>
              <w:t xml:space="preserve"> </w:t>
            </w:r>
            <w:r w:rsidR="0067737C">
              <w:rPr>
                <w:lang w:val="fr-FR"/>
              </w:rPr>
              <w:t>d</w:t>
            </w:r>
            <w:r w:rsidRPr="005E13FC">
              <w:rPr>
                <w:lang w:val="fr-FR"/>
              </w:rPr>
              <w:t>istricts sanitaires réparties dans 6 régions du Burkina Faso</w:t>
            </w:r>
          </w:p>
        </w:tc>
      </w:tr>
      <w:tr w:rsidR="00B74DD5" w:rsidRPr="005E13FC" w14:paraId="2BB46F9B" w14:textId="77777777" w:rsidTr="00B74DD5">
        <w:tc>
          <w:tcPr>
            <w:tcW w:w="2257" w:type="dxa"/>
          </w:tcPr>
          <w:p w14:paraId="1949DC19" w14:textId="77777777" w:rsidR="00B74DD5" w:rsidRPr="004C063C" w:rsidRDefault="00B74DD5" w:rsidP="00B74DD5">
            <w:pPr>
              <w:jc w:val="both"/>
              <w:rPr>
                <w:b/>
                <w:bCs/>
                <w:color w:val="124F1A" w:themeColor="accent3" w:themeShade="BF"/>
                <w:lang w:val="fr-FR"/>
              </w:rPr>
            </w:pPr>
            <w:r w:rsidRPr="004C063C">
              <w:rPr>
                <w:b/>
                <w:bCs/>
                <w:color w:val="124F1A" w:themeColor="accent3" w:themeShade="BF"/>
                <w:lang w:val="fr-FR"/>
              </w:rPr>
              <w:t>Personne responsable</w:t>
            </w:r>
          </w:p>
        </w:tc>
        <w:tc>
          <w:tcPr>
            <w:tcW w:w="283" w:type="dxa"/>
          </w:tcPr>
          <w:p w14:paraId="418D5EEF" w14:textId="77777777" w:rsidR="00B74DD5" w:rsidRPr="005E13FC" w:rsidRDefault="00B74DD5" w:rsidP="00B74DD5">
            <w:pPr>
              <w:jc w:val="both"/>
              <w:rPr>
                <w:lang w:val="fr-FR"/>
              </w:rPr>
            </w:pPr>
            <w:r w:rsidRPr="005E13FC">
              <w:rPr>
                <w:lang w:val="fr-FR"/>
              </w:rPr>
              <w:t>:</w:t>
            </w:r>
          </w:p>
        </w:tc>
        <w:tc>
          <w:tcPr>
            <w:tcW w:w="6522" w:type="dxa"/>
          </w:tcPr>
          <w:p w14:paraId="677FC4F9" w14:textId="77777777" w:rsidR="00B74DD5" w:rsidRPr="005E13FC" w:rsidRDefault="00B74DD5" w:rsidP="00B74DD5">
            <w:pPr>
              <w:jc w:val="both"/>
              <w:rPr>
                <w:lang w:val="fr-FR"/>
              </w:rPr>
            </w:pPr>
            <w:r w:rsidRPr="005E13FC">
              <w:rPr>
                <w:lang w:val="fr-FR"/>
              </w:rPr>
              <w:t>Directeur Pays de Malaria Consortium</w:t>
            </w:r>
          </w:p>
        </w:tc>
      </w:tr>
      <w:tr w:rsidR="00B74DD5" w:rsidRPr="005E13FC" w14:paraId="6B2834FB" w14:textId="77777777" w:rsidTr="00B74DD5">
        <w:tc>
          <w:tcPr>
            <w:tcW w:w="2257" w:type="dxa"/>
          </w:tcPr>
          <w:p w14:paraId="442A5D68" w14:textId="77777777" w:rsidR="00B74DD5" w:rsidRPr="004C063C" w:rsidRDefault="00B74DD5" w:rsidP="00B74DD5">
            <w:pPr>
              <w:jc w:val="both"/>
              <w:rPr>
                <w:b/>
                <w:bCs/>
                <w:color w:val="124F1A" w:themeColor="accent3" w:themeShade="BF"/>
                <w:lang w:val="fr-FR"/>
              </w:rPr>
            </w:pPr>
            <w:r w:rsidRPr="004C063C">
              <w:rPr>
                <w:b/>
                <w:bCs/>
                <w:color w:val="124F1A" w:themeColor="accent3" w:themeShade="BF"/>
                <w:lang w:val="fr-FR"/>
              </w:rPr>
              <w:t>Durée</w:t>
            </w:r>
          </w:p>
        </w:tc>
        <w:tc>
          <w:tcPr>
            <w:tcW w:w="283" w:type="dxa"/>
          </w:tcPr>
          <w:p w14:paraId="284E3F4A" w14:textId="77777777" w:rsidR="00B74DD5" w:rsidRPr="005E13FC" w:rsidRDefault="00B74DD5" w:rsidP="00B74DD5">
            <w:pPr>
              <w:jc w:val="both"/>
              <w:rPr>
                <w:lang w:val="fr-FR"/>
              </w:rPr>
            </w:pPr>
            <w:r w:rsidRPr="005E13FC">
              <w:rPr>
                <w:lang w:val="fr-FR"/>
              </w:rPr>
              <w:t>:</w:t>
            </w:r>
          </w:p>
        </w:tc>
        <w:tc>
          <w:tcPr>
            <w:tcW w:w="6522" w:type="dxa"/>
          </w:tcPr>
          <w:p w14:paraId="5CDED1EC" w14:textId="77777777" w:rsidR="00B74DD5" w:rsidRPr="005E13FC" w:rsidRDefault="00B74DD5" w:rsidP="00B74DD5">
            <w:pPr>
              <w:jc w:val="both"/>
              <w:rPr>
                <w:lang w:val="fr-FR"/>
              </w:rPr>
            </w:pPr>
            <w:r w:rsidRPr="005E13FC">
              <w:rPr>
                <w:lang w:val="fr-FR"/>
              </w:rPr>
              <w:t>3 mois</w:t>
            </w:r>
          </w:p>
        </w:tc>
      </w:tr>
      <w:tr w:rsidR="00B74DD5" w:rsidRPr="005E13FC" w14:paraId="009002EA" w14:textId="77777777" w:rsidTr="00B74DD5">
        <w:tc>
          <w:tcPr>
            <w:tcW w:w="2257" w:type="dxa"/>
          </w:tcPr>
          <w:p w14:paraId="008570C2" w14:textId="77777777" w:rsidR="00B74DD5" w:rsidRPr="004C063C" w:rsidRDefault="00B74DD5" w:rsidP="00B74DD5">
            <w:pPr>
              <w:jc w:val="both"/>
              <w:rPr>
                <w:b/>
                <w:bCs/>
                <w:color w:val="124F1A" w:themeColor="accent3" w:themeShade="BF"/>
                <w:lang w:val="fr-FR"/>
              </w:rPr>
            </w:pPr>
            <w:r w:rsidRPr="004C063C">
              <w:rPr>
                <w:b/>
                <w:bCs/>
                <w:color w:val="124F1A" w:themeColor="accent3" w:themeShade="BF"/>
                <w:lang w:val="fr-FR"/>
              </w:rPr>
              <w:t>Budget</w:t>
            </w:r>
          </w:p>
        </w:tc>
        <w:tc>
          <w:tcPr>
            <w:tcW w:w="283" w:type="dxa"/>
          </w:tcPr>
          <w:p w14:paraId="1A43616D" w14:textId="77777777" w:rsidR="00B74DD5" w:rsidRPr="005E13FC" w:rsidRDefault="00B74DD5" w:rsidP="00B74DD5">
            <w:pPr>
              <w:jc w:val="both"/>
              <w:rPr>
                <w:lang w:val="fr-FR"/>
              </w:rPr>
            </w:pPr>
            <w:r w:rsidRPr="005E13FC">
              <w:rPr>
                <w:lang w:val="fr-FR"/>
              </w:rPr>
              <w:t>:</w:t>
            </w:r>
          </w:p>
        </w:tc>
        <w:tc>
          <w:tcPr>
            <w:tcW w:w="6522" w:type="dxa"/>
          </w:tcPr>
          <w:p w14:paraId="25FD46C0" w14:textId="77777777" w:rsidR="00B74DD5" w:rsidRPr="005E13FC" w:rsidRDefault="00B74DD5" w:rsidP="00B74DD5">
            <w:pPr>
              <w:jc w:val="both"/>
              <w:rPr>
                <w:lang w:val="fr-FR"/>
              </w:rPr>
            </w:pPr>
            <w:r w:rsidRPr="005E13FC">
              <w:rPr>
                <w:lang w:val="fr-FR"/>
              </w:rPr>
              <w:t>Sur offre technique et négociable dans la limite prévue par le budget programme.</w:t>
            </w:r>
          </w:p>
        </w:tc>
      </w:tr>
    </w:tbl>
    <w:p w14:paraId="6403E8DB" w14:textId="77777777" w:rsidR="009E5792" w:rsidRDefault="009E5792" w:rsidP="005E13FC">
      <w:pPr>
        <w:jc w:val="both"/>
        <w:rPr>
          <w:lang w:val="fr-FR" w:eastAsia="en-US"/>
        </w:rPr>
      </w:pPr>
    </w:p>
    <w:p w14:paraId="364666A0" w14:textId="77777777" w:rsidR="00FD4BA1" w:rsidRPr="005E13FC" w:rsidRDefault="00FD4BA1" w:rsidP="00FD4BA1">
      <w:pPr>
        <w:pStyle w:val="Titre1"/>
        <w:jc w:val="both"/>
        <w:rPr>
          <w:lang w:val="fr-FR"/>
        </w:rPr>
      </w:pPr>
      <w:r w:rsidRPr="005E13FC">
        <w:rPr>
          <w:lang w:val="fr-FR"/>
        </w:rPr>
        <w:t>Contexte et justification</w:t>
      </w:r>
    </w:p>
    <w:p w14:paraId="5AA520A9" w14:textId="6DB8C253" w:rsidR="000B7590" w:rsidRPr="005E13FC" w:rsidRDefault="000B7590" w:rsidP="005E13FC">
      <w:pPr>
        <w:jc w:val="both"/>
        <w:rPr>
          <w:lang w:val="fr-FR" w:eastAsia="en-US"/>
        </w:rPr>
      </w:pPr>
      <w:r w:rsidRPr="005E13FC">
        <w:rPr>
          <w:lang w:val="fr-FR" w:eastAsia="en-US"/>
        </w:rPr>
        <w:t>Dans les pays du Sahel, la majorité des cas de paludisme et des décès qui lui sont attribuables surviennent pendant la saison des pluies, généralement entre les mois de juin et d'octobre. La Chimio Prévention du Paludisme Saisonnier (CPS) constitue une intervention hautement efficace pour prévenir l'infection palustre durant cette période de forte transmission chez les populations les plus vulnérables, notamment les enfants de moins de cinq ans.</w:t>
      </w:r>
    </w:p>
    <w:p w14:paraId="0BE2C9F1" w14:textId="77777777" w:rsidR="000B7590" w:rsidRPr="005E13FC" w:rsidRDefault="000B7590" w:rsidP="005E13FC">
      <w:pPr>
        <w:jc w:val="both"/>
        <w:rPr>
          <w:lang w:val="fr-FR" w:eastAsia="en-US"/>
        </w:rPr>
      </w:pPr>
      <w:r w:rsidRPr="005E13FC">
        <w:rPr>
          <w:lang w:val="fr-FR" w:eastAsia="en-US"/>
        </w:rPr>
        <w:t>La CPS consiste à administrer mensuellement aux enfants âgés de 3 à 59 mois une combinaison de deux médicaments antipaludiques, la Sulfadoxine-Pyriméthamine (SP) et l'Amodiaquine (AQ), sur une période pouvant aller jusqu'à cinq mois. Recommandée par l'Organisation mondiale de la Santé (OMS), cette intervention est reconnue comme sûre, rentable et réalisable, avec un potentiel de réduction pouvant atteindre 75 % des cas de paludisme chez les enfants de moins de cinq ans.</w:t>
      </w:r>
    </w:p>
    <w:p w14:paraId="1669CE29" w14:textId="77777777" w:rsidR="000B7590" w:rsidRPr="005E13FC" w:rsidRDefault="000B7590" w:rsidP="005E13FC">
      <w:pPr>
        <w:jc w:val="both"/>
        <w:rPr>
          <w:lang w:val="fr-FR" w:eastAsia="en-US"/>
        </w:rPr>
      </w:pPr>
      <w:r w:rsidRPr="005E13FC">
        <w:rPr>
          <w:lang w:val="fr-FR" w:eastAsia="en-US"/>
        </w:rPr>
        <w:t>Depuis l'émission de cette recommandation par l'OMS en 2012, Malaria Consortium figure parmi les principaux partenaires impliqués dans la mise en œuvre de la CPS.</w:t>
      </w:r>
    </w:p>
    <w:p w14:paraId="7416C9CB" w14:textId="77777777" w:rsidR="000B7590" w:rsidRPr="005E13FC" w:rsidRDefault="000B7590" w:rsidP="005E13FC">
      <w:pPr>
        <w:jc w:val="both"/>
        <w:rPr>
          <w:lang w:val="fr-FR" w:eastAsia="en-US"/>
        </w:rPr>
      </w:pPr>
      <w:r w:rsidRPr="005E13FC">
        <w:rPr>
          <w:lang w:val="fr-FR" w:eastAsia="en-US"/>
        </w:rPr>
        <w:t>Au Burkina Faso, Malaria Consortium appuie le Secrétariat Permanent pour l'Élimination du Paludisme (SP/PALU) dans la mise en œuvre de la CPS depuis 2015. En 2026, l'organisation soutient la mise en œuvre de la campagne dans 29 districts sanitaires répartis dans six régions : les Cascades, le Centre, le Centre-Nord, le Centre-Sud, les Hauts-Bassins et le Plateau-Central.</w:t>
      </w:r>
    </w:p>
    <w:p w14:paraId="294854DA" w14:textId="77777777" w:rsidR="000B7590" w:rsidRPr="005E13FC" w:rsidRDefault="000B7590" w:rsidP="005E13FC">
      <w:pPr>
        <w:jc w:val="both"/>
        <w:rPr>
          <w:lang w:val="fr-FR" w:eastAsia="en-US"/>
        </w:rPr>
      </w:pPr>
      <w:r w:rsidRPr="005E13FC">
        <w:rPr>
          <w:lang w:val="fr-FR" w:eastAsia="en-US"/>
        </w:rPr>
        <w:t>Parmi ces 29 districts, treize (13) ont mis en œuvre une campagne comprenant cinq cycles de distribution et ont débuté leurs activités en juin, soit un mois avant les autres districts.</w:t>
      </w:r>
    </w:p>
    <w:p w14:paraId="4B7D2424" w14:textId="56EBFC72" w:rsidR="000B7590" w:rsidRPr="005E13FC" w:rsidRDefault="000B7590" w:rsidP="005E13FC">
      <w:pPr>
        <w:jc w:val="both"/>
        <w:rPr>
          <w:lang w:val="fr-FR" w:eastAsia="en-US"/>
        </w:rPr>
      </w:pPr>
      <w:r w:rsidRPr="005E13FC">
        <w:rPr>
          <w:lang w:val="fr-FR" w:eastAsia="en-US"/>
        </w:rPr>
        <w:t>Afin d'évaluer les performances de la campagne CPS 2026, Malaria Consortium prévoit la réalisation d'une enquête de couverture à l'issue de la campagne. À cet effet, l'organisation souhaite recruter une structure indépendante (institut de recherche, cabinet d'études ou consultant indépendant) disposant d'une expérience avérée dans le domaine de la santé publique, notamment dans la conception et la réalisation d'enquêtes de couverture. Ces termes de références précisent les conditions de soumission des potentiels candidats en que personne morale ou physique ainsi que les détails sur le processus de sélection et de travail.</w:t>
      </w:r>
    </w:p>
    <w:p w14:paraId="7AA8B982" w14:textId="079ACD74" w:rsidR="000B7590" w:rsidRPr="005E13FC" w:rsidRDefault="000B7590" w:rsidP="005E13FC">
      <w:pPr>
        <w:pStyle w:val="Titre1"/>
        <w:jc w:val="both"/>
        <w:rPr>
          <w:lang w:val="fr-FR"/>
        </w:rPr>
      </w:pPr>
      <w:r w:rsidRPr="005E13FC">
        <w:rPr>
          <w:lang w:val="fr-FR"/>
        </w:rPr>
        <w:lastRenderedPageBreak/>
        <w:t xml:space="preserve">Détails de </w:t>
      </w:r>
      <w:r w:rsidR="00CC1EA9">
        <w:rPr>
          <w:lang w:val="fr-FR"/>
        </w:rPr>
        <w:t>l</w:t>
      </w:r>
      <w:r w:rsidRPr="005E13FC">
        <w:rPr>
          <w:lang w:val="fr-FR"/>
        </w:rPr>
        <w:t>a mission</w:t>
      </w:r>
    </w:p>
    <w:p w14:paraId="1D94710E" w14:textId="77777777" w:rsidR="000B7590" w:rsidRPr="005E13FC" w:rsidRDefault="000B7590" w:rsidP="005E13FC">
      <w:pPr>
        <w:jc w:val="both"/>
        <w:rPr>
          <w:lang w:val="fr-FR" w:eastAsia="en-US"/>
        </w:rPr>
      </w:pPr>
      <w:r w:rsidRPr="005E13FC">
        <w:rPr>
          <w:lang w:val="fr-FR" w:eastAsia="en-US"/>
        </w:rPr>
        <w:t>Malaria Consortium recherche un cabinet d'études, un consultant indépendant ou une institution de recherche disposant d'une expérience démontrée en recherche quantitative en santé publique, particulièrement dans la conduite d'enquêtes épidémiologiques, afin de réaliser l'enquête de couverture de la campagne CPS 2026 au Burkina Faso.</w:t>
      </w:r>
    </w:p>
    <w:p w14:paraId="09AFF069" w14:textId="62C1F4FC" w:rsidR="000B7590" w:rsidRPr="005E13FC" w:rsidRDefault="000B7590" w:rsidP="005E13FC">
      <w:pPr>
        <w:jc w:val="both"/>
        <w:rPr>
          <w:lang w:val="fr-FR" w:eastAsia="en-US"/>
        </w:rPr>
      </w:pPr>
      <w:r w:rsidRPr="005E13FC">
        <w:rPr>
          <w:lang w:val="fr-FR" w:eastAsia="en-US"/>
        </w:rPr>
        <w:t>Le principal indicateur attendu est la proportion d'enfants ayant reçu la CPS parmi l'ensemble des enfants éligibles identifiés lors de l'enquête. D'autres indicateurs et résultats secondaires d'intérêt feront également l'objet d'analyses complémentaires.</w:t>
      </w:r>
    </w:p>
    <w:p w14:paraId="48C312EB" w14:textId="271148BB" w:rsidR="000B7590" w:rsidRPr="005E13FC" w:rsidRDefault="000B7590" w:rsidP="005E13FC">
      <w:pPr>
        <w:jc w:val="both"/>
        <w:rPr>
          <w:rStyle w:val="lev"/>
          <w:lang w:val="fr-FR" w:eastAsia="en-US"/>
        </w:rPr>
      </w:pPr>
      <w:r w:rsidRPr="005E13FC">
        <w:rPr>
          <w:rStyle w:val="lev"/>
          <w:lang w:val="fr-FR" w:eastAsia="en-US"/>
        </w:rPr>
        <w:t>Conditions à respecter</w:t>
      </w:r>
    </w:p>
    <w:p w14:paraId="150A9F14" w14:textId="77777777" w:rsidR="000B7590" w:rsidRPr="005E13FC" w:rsidRDefault="000B7590" w:rsidP="005E13FC">
      <w:pPr>
        <w:jc w:val="both"/>
        <w:rPr>
          <w:lang w:val="fr-FR" w:eastAsia="en-US"/>
        </w:rPr>
      </w:pPr>
      <w:r w:rsidRPr="005E13FC">
        <w:rPr>
          <w:lang w:val="fr-FR" w:eastAsia="en-US"/>
        </w:rPr>
        <w:t xml:space="preserve">Les exigences suivantes en matière de collecte, de gestion et d’analyse des données doivent être mises à la disposition : </w:t>
      </w:r>
    </w:p>
    <w:p w14:paraId="1FCE91B7" w14:textId="77777777" w:rsidR="000B7590" w:rsidRPr="005E13FC" w:rsidRDefault="000B7590" w:rsidP="005E13FC">
      <w:pPr>
        <w:pStyle w:val="Paragraphedeliste"/>
        <w:numPr>
          <w:ilvl w:val="0"/>
          <w:numId w:val="9"/>
        </w:numPr>
        <w:jc w:val="both"/>
        <w:rPr>
          <w:lang w:val="fr-FR" w:eastAsia="en-US"/>
        </w:rPr>
      </w:pPr>
      <w:r w:rsidRPr="005E13FC">
        <w:rPr>
          <w:lang w:val="fr-FR" w:eastAsia="en-US"/>
        </w:rPr>
        <w:t>Le soumissionnaire devra définir clairement l'unité d'analyse et proposer une méthodologie d'échantillonnage appropriée permettant d'obtenir un échantillon représentatif. Cette méthodologie devra détailler les modalités de sélection des localités ou sites d'enquête ainsi que des ménages au sein de ces localités. Le soumissionnaire devra également préciser la méthode de calcul de la taille de l'échantillon et présenter les formules utilisées.</w:t>
      </w:r>
    </w:p>
    <w:p w14:paraId="4F667904" w14:textId="77777777" w:rsidR="000B7590" w:rsidRPr="005E13FC" w:rsidRDefault="000B7590" w:rsidP="005E13FC">
      <w:pPr>
        <w:pStyle w:val="Paragraphedeliste"/>
        <w:numPr>
          <w:ilvl w:val="0"/>
          <w:numId w:val="9"/>
        </w:numPr>
        <w:jc w:val="both"/>
        <w:rPr>
          <w:lang w:val="fr-FR" w:eastAsia="en-US"/>
        </w:rPr>
      </w:pPr>
      <w:r w:rsidRPr="005E13FC">
        <w:rPr>
          <w:lang w:val="fr-FR" w:eastAsia="en-US"/>
        </w:rPr>
        <w:t>La stratégie d'échantillonnage devra intégrer un niveau de stratification permettant de distinguer les zones rurales et urbaines ainsi que les districts ayant mis en œuvre quatre cycles de CPS de ceux ayant mis en œuvre cinq cycles, afin de produire des estimations de couverture adaptées.</w:t>
      </w:r>
    </w:p>
    <w:p w14:paraId="4D594E13" w14:textId="77777777" w:rsidR="000B7590" w:rsidRPr="005E13FC" w:rsidRDefault="000B7590" w:rsidP="005E13FC">
      <w:pPr>
        <w:pStyle w:val="Paragraphedeliste"/>
        <w:numPr>
          <w:ilvl w:val="0"/>
          <w:numId w:val="9"/>
        </w:numPr>
        <w:jc w:val="both"/>
        <w:rPr>
          <w:lang w:val="fr-FR" w:eastAsia="en-US"/>
        </w:rPr>
      </w:pPr>
      <w:r w:rsidRPr="005E13FC">
        <w:rPr>
          <w:lang w:val="fr-FR" w:eastAsia="en-US"/>
        </w:rPr>
        <w:t>L'enquête devra permettre d'obtenir des informations spécifiques à chacun des cycles mensuels de distribution, soit quatre ou cinq cycles selon les districts concernés. Les résultats devront être présentés à la fois par cycle et de manière consolidée, tout en évaluant la cohérence entre les cycles.</w:t>
      </w:r>
    </w:p>
    <w:p w14:paraId="4FE6163A" w14:textId="77777777" w:rsidR="000B7590" w:rsidRPr="005E13FC" w:rsidRDefault="000B7590" w:rsidP="005E13FC">
      <w:pPr>
        <w:pStyle w:val="Paragraphedeliste"/>
        <w:numPr>
          <w:ilvl w:val="0"/>
          <w:numId w:val="9"/>
        </w:numPr>
        <w:jc w:val="both"/>
        <w:rPr>
          <w:lang w:val="fr-FR" w:eastAsia="en-US"/>
        </w:rPr>
      </w:pPr>
      <w:r w:rsidRPr="005E13FC">
        <w:rPr>
          <w:lang w:val="fr-FR" w:eastAsia="en-US"/>
        </w:rPr>
        <w:t>Concernant l'indicateur principal de l'étude, à savoir la couverture CPS des enfants éligibles au Jour 1, la précision attendue est d'au moins ±5 % pour l'ensemble des 29 districts couverts.</w:t>
      </w:r>
    </w:p>
    <w:p w14:paraId="5FE24EB3" w14:textId="77777777" w:rsidR="000B7590" w:rsidRPr="005E13FC" w:rsidRDefault="000B7590" w:rsidP="005E13FC">
      <w:pPr>
        <w:pStyle w:val="Paragraphedeliste"/>
        <w:numPr>
          <w:ilvl w:val="0"/>
          <w:numId w:val="9"/>
        </w:numPr>
        <w:jc w:val="both"/>
        <w:rPr>
          <w:lang w:val="fr-FR" w:eastAsia="en-US"/>
        </w:rPr>
      </w:pPr>
      <w:r w:rsidRPr="005E13FC">
        <w:rPr>
          <w:lang w:val="fr-FR" w:eastAsia="en-US"/>
        </w:rPr>
        <w:t>Pendant la collecte des données, Malaria Consortium Burkina Faso participera à la supervision des activités afin de s'assurer du respect des procédures décrites dans l'offre technique retenue.</w:t>
      </w:r>
    </w:p>
    <w:p w14:paraId="39A4DABB" w14:textId="77777777" w:rsidR="000B7590" w:rsidRPr="005E13FC" w:rsidRDefault="000B7590" w:rsidP="005E13FC">
      <w:pPr>
        <w:pStyle w:val="Paragraphedeliste"/>
        <w:numPr>
          <w:ilvl w:val="0"/>
          <w:numId w:val="9"/>
        </w:numPr>
        <w:jc w:val="both"/>
        <w:rPr>
          <w:lang w:val="fr-FR" w:eastAsia="en-US"/>
        </w:rPr>
      </w:pPr>
      <w:r w:rsidRPr="005E13FC">
        <w:rPr>
          <w:lang w:val="fr-FR" w:eastAsia="en-US"/>
        </w:rPr>
        <w:t>Malaria Consortium contribuera à la conception de l'enquête, notamment à l'élaboration et à la validation du questionnaire.</w:t>
      </w:r>
    </w:p>
    <w:p w14:paraId="1C6C08B1" w14:textId="4AF5254D" w:rsidR="000B7590" w:rsidRDefault="000B7590" w:rsidP="005E13FC">
      <w:pPr>
        <w:pStyle w:val="Paragraphedeliste"/>
        <w:numPr>
          <w:ilvl w:val="0"/>
          <w:numId w:val="9"/>
        </w:numPr>
        <w:jc w:val="both"/>
        <w:rPr>
          <w:lang w:val="fr-FR" w:eastAsia="en-US"/>
        </w:rPr>
      </w:pPr>
      <w:r w:rsidRPr="005E13FC">
        <w:rPr>
          <w:lang w:val="fr-FR" w:eastAsia="en-US"/>
        </w:rPr>
        <w:t xml:space="preserve">La structure retenue sera responsable de la formation des superviseurs et des agents enquêteurs, aussi bien sur les aspects techniques de la CPS que sur l'utilisation de la plateforme </w:t>
      </w:r>
      <w:proofErr w:type="spellStart"/>
      <w:r w:rsidRPr="005E13FC">
        <w:rPr>
          <w:lang w:val="fr-FR" w:eastAsia="en-US"/>
        </w:rPr>
        <w:t>SurveyCTO</w:t>
      </w:r>
      <w:proofErr w:type="spellEnd"/>
      <w:r w:rsidRPr="005E13FC">
        <w:rPr>
          <w:lang w:val="fr-FR" w:eastAsia="en-US"/>
        </w:rPr>
        <w:t>. Malaria Consortium apportera un appui technique à cette formation.</w:t>
      </w:r>
    </w:p>
    <w:p w14:paraId="738FCE85" w14:textId="77777777" w:rsidR="008750E2" w:rsidRDefault="008750E2" w:rsidP="008750E2">
      <w:pPr>
        <w:jc w:val="both"/>
        <w:rPr>
          <w:lang w:val="fr-FR" w:eastAsia="en-US"/>
        </w:rPr>
      </w:pPr>
    </w:p>
    <w:p w14:paraId="63EB30CD" w14:textId="77777777" w:rsidR="008750E2" w:rsidRPr="008750E2" w:rsidRDefault="008750E2" w:rsidP="008750E2">
      <w:pPr>
        <w:jc w:val="both"/>
        <w:rPr>
          <w:lang w:val="fr-FR" w:eastAsia="en-US"/>
        </w:rPr>
      </w:pPr>
    </w:p>
    <w:p w14:paraId="77962B5D" w14:textId="77777777" w:rsidR="000B7590" w:rsidRPr="005E13FC" w:rsidRDefault="000B7590" w:rsidP="005E13FC">
      <w:pPr>
        <w:jc w:val="both"/>
        <w:rPr>
          <w:rStyle w:val="lev"/>
          <w:lang w:val="fr-FR" w:eastAsia="en-US"/>
        </w:rPr>
      </w:pPr>
      <w:r w:rsidRPr="005E13FC">
        <w:rPr>
          <w:rStyle w:val="lev"/>
          <w:lang w:val="fr-FR" w:eastAsia="en-US"/>
        </w:rPr>
        <w:lastRenderedPageBreak/>
        <w:t xml:space="preserve">Collecte et stockage de données </w:t>
      </w:r>
    </w:p>
    <w:p w14:paraId="570A9069" w14:textId="77777777" w:rsidR="000B7590" w:rsidRPr="005E13FC" w:rsidRDefault="000B7590" w:rsidP="005E13FC">
      <w:pPr>
        <w:jc w:val="both"/>
        <w:rPr>
          <w:lang w:val="fr-FR" w:eastAsia="en-US"/>
        </w:rPr>
      </w:pPr>
      <w:r w:rsidRPr="005E13FC">
        <w:rPr>
          <w:lang w:val="fr-FR" w:eastAsia="en-US"/>
        </w:rPr>
        <w:t>La collecte des données sera réalisée de manière numérique à l'aide de smartphones. Les questionnaires seront administrés hors connexion puis synchronisés vers un serveur central via un réseau mobile ou une connexion Wi-Fi, selon la disponibilité de la couverture réseau.</w:t>
      </w:r>
    </w:p>
    <w:p w14:paraId="4B52EF46" w14:textId="77777777" w:rsidR="000B7590" w:rsidRPr="005E13FC" w:rsidRDefault="000B7590" w:rsidP="005E13FC">
      <w:pPr>
        <w:jc w:val="both"/>
        <w:rPr>
          <w:lang w:val="fr-FR" w:eastAsia="en-US"/>
        </w:rPr>
      </w:pPr>
      <w:r w:rsidRPr="005E13FC">
        <w:rPr>
          <w:lang w:val="fr-FR" w:eastAsia="en-US"/>
        </w:rPr>
        <w:t>Les enquêteurs devront impérativement transmettre les données collectées à la fin de chaque journée. Cette transmission quotidienne permettra de vérifier la compréhension des outils de collecte et la qualité des données enregistrées.</w:t>
      </w:r>
    </w:p>
    <w:p w14:paraId="47B2362F" w14:textId="77777777" w:rsidR="000B7590" w:rsidRPr="005E13FC" w:rsidRDefault="000B7590" w:rsidP="005E13FC">
      <w:pPr>
        <w:jc w:val="both"/>
        <w:rPr>
          <w:lang w:val="fr-FR" w:eastAsia="en-US"/>
        </w:rPr>
      </w:pPr>
      <w:r w:rsidRPr="005E13FC">
        <w:rPr>
          <w:lang w:val="fr-FR" w:eastAsia="en-US"/>
        </w:rPr>
        <w:t>En cas d'erreurs ou d'incohérences détectées lors des contrôles qualité, la structure retenue devra fournir un retour rapide aux équipes de terrain afin de corriger les insuffisances observées avant la poursuite de l'enquête.</w:t>
      </w:r>
    </w:p>
    <w:p w14:paraId="1AD5762E" w14:textId="77777777" w:rsidR="000B7590" w:rsidRPr="005E13FC" w:rsidRDefault="000B7590" w:rsidP="005E13FC">
      <w:pPr>
        <w:jc w:val="both"/>
        <w:rPr>
          <w:lang w:val="fr-FR" w:eastAsia="en-US"/>
        </w:rPr>
      </w:pPr>
      <w:r w:rsidRPr="005E13FC">
        <w:rPr>
          <w:lang w:val="fr-FR" w:eastAsia="en-US"/>
        </w:rPr>
        <w:t>Par ailleurs, la structure retenue transmettra quotidiennement à Malaria Consortium les données collectées ou les rapports de progression convenus. Cette disposition permettra un suivi rapproché de l'avancement de l'enquête, du respect du calendrier de mise en œuvre ainsi que de la conformité des données collectées aux indicateurs contractuels.</w:t>
      </w:r>
    </w:p>
    <w:p w14:paraId="0A2372AB" w14:textId="77777777" w:rsidR="000B7590" w:rsidRPr="005E13FC" w:rsidRDefault="000B7590" w:rsidP="005E13FC">
      <w:pPr>
        <w:jc w:val="both"/>
        <w:rPr>
          <w:lang w:val="fr-FR" w:eastAsia="en-US"/>
        </w:rPr>
      </w:pPr>
      <w:r w:rsidRPr="005E13FC">
        <w:rPr>
          <w:lang w:val="fr-FR" w:eastAsia="en-US"/>
        </w:rPr>
        <w:t>Malaria Consortium pourra mettre à disposition un nombre limité de smartphones, sous réserve de disponibilité. Toutefois, le soumissionnaire est libre d'utiliser ses propres équipements s'il le souhaite.</w:t>
      </w:r>
    </w:p>
    <w:p w14:paraId="0CF2C731" w14:textId="77777777" w:rsidR="000B7590" w:rsidRPr="005E13FC" w:rsidRDefault="000B7590" w:rsidP="005E13FC">
      <w:pPr>
        <w:jc w:val="both"/>
        <w:rPr>
          <w:lang w:val="fr-FR" w:eastAsia="en-US"/>
        </w:rPr>
      </w:pPr>
      <w:r w:rsidRPr="005E13FC">
        <w:rPr>
          <w:lang w:val="fr-FR" w:eastAsia="en-US"/>
        </w:rPr>
        <w:t xml:space="preserve">La collecte et le suivi des données s'effectueront à travers la plateforme </w:t>
      </w:r>
      <w:proofErr w:type="spellStart"/>
      <w:r w:rsidRPr="005E13FC">
        <w:rPr>
          <w:lang w:val="fr-FR" w:eastAsia="en-US"/>
        </w:rPr>
        <w:t>SurveyCTO</w:t>
      </w:r>
      <w:proofErr w:type="spellEnd"/>
      <w:r w:rsidRPr="005E13FC">
        <w:rPr>
          <w:lang w:val="fr-FR" w:eastAsia="en-US"/>
        </w:rPr>
        <w:t xml:space="preserve"> utilisée par Malaria Consortium. Les utilisateurs disposeront des niveaux d'autorisation appropriés pour la collecte et la transmission des données.</w:t>
      </w:r>
    </w:p>
    <w:p w14:paraId="58D057B3" w14:textId="77777777" w:rsidR="000B7590" w:rsidRPr="005E13FC" w:rsidRDefault="000B7590" w:rsidP="005E13FC">
      <w:pPr>
        <w:jc w:val="both"/>
        <w:rPr>
          <w:rStyle w:val="lev"/>
          <w:lang w:val="fr-FR" w:eastAsia="en-US"/>
        </w:rPr>
      </w:pPr>
      <w:r w:rsidRPr="005E13FC">
        <w:rPr>
          <w:rStyle w:val="lev"/>
          <w:lang w:val="fr-FR" w:eastAsia="en-US"/>
        </w:rPr>
        <w:t>Analyse et gestion des données</w:t>
      </w:r>
    </w:p>
    <w:p w14:paraId="4BC15102" w14:textId="77777777" w:rsidR="000B7590" w:rsidRPr="005E13FC" w:rsidRDefault="000B7590" w:rsidP="005E13FC">
      <w:pPr>
        <w:jc w:val="both"/>
        <w:rPr>
          <w:lang w:val="fr-FR" w:eastAsia="en-US"/>
        </w:rPr>
      </w:pPr>
      <w:r w:rsidRPr="005E13FC">
        <w:rPr>
          <w:lang w:val="fr-FR" w:eastAsia="en-US"/>
        </w:rPr>
        <w:t>Dès le démarrage de l'étude, l'attributaire désignera les personnes clés responsables de la gestion et de l'analyse des données.</w:t>
      </w:r>
    </w:p>
    <w:p w14:paraId="524D918B" w14:textId="77777777" w:rsidR="000B7590" w:rsidRPr="005E13FC" w:rsidRDefault="000B7590" w:rsidP="005E13FC">
      <w:pPr>
        <w:jc w:val="both"/>
        <w:rPr>
          <w:lang w:val="fr-FR" w:eastAsia="en-US"/>
        </w:rPr>
      </w:pPr>
      <w:proofErr w:type="spellStart"/>
      <w:r w:rsidRPr="005E13FC">
        <w:rPr>
          <w:lang w:val="fr-FR" w:eastAsia="en-US"/>
        </w:rPr>
        <w:t>SurveyCTO</w:t>
      </w:r>
      <w:proofErr w:type="spellEnd"/>
      <w:r w:rsidRPr="005E13FC">
        <w:rPr>
          <w:lang w:val="fr-FR" w:eastAsia="en-US"/>
        </w:rPr>
        <w:t xml:space="preserve"> constituera la plateforme principale de stockage et de suivi des données. Afin de garantir la qualité de la base finale, le gestionnaire de données de la structure retenue devra procéder à des contrôles quotidiens pour identifier les incohérences éventuelles et apporter un retour rapide aux équipes de collecte.</w:t>
      </w:r>
    </w:p>
    <w:p w14:paraId="04D556D8" w14:textId="77777777" w:rsidR="000B7590" w:rsidRPr="005E13FC" w:rsidRDefault="000B7590" w:rsidP="005E13FC">
      <w:pPr>
        <w:jc w:val="both"/>
        <w:rPr>
          <w:lang w:val="fr-FR" w:eastAsia="en-US"/>
        </w:rPr>
      </w:pPr>
      <w:r w:rsidRPr="005E13FC">
        <w:rPr>
          <w:lang w:val="fr-FR" w:eastAsia="en-US"/>
        </w:rPr>
        <w:t>Les soumissionnaires pourront exporter les données vers le logiciel statistique de leur choix pour les analyses approfondies. Bien que STATA soit le logiciel privilégié par Malaria Consortium, l'utilisation d'autres logiciels statistiques reconnus demeure acceptable.</w:t>
      </w:r>
    </w:p>
    <w:p w14:paraId="07714BAD" w14:textId="77777777" w:rsidR="000B7590" w:rsidRPr="005E13FC" w:rsidRDefault="000B7590" w:rsidP="005E13FC">
      <w:pPr>
        <w:jc w:val="both"/>
        <w:rPr>
          <w:lang w:val="fr-FR" w:eastAsia="en-US"/>
        </w:rPr>
      </w:pPr>
      <w:r w:rsidRPr="005E13FC">
        <w:rPr>
          <w:lang w:val="fr-FR" w:eastAsia="en-US"/>
        </w:rPr>
        <w:t>Le soumissionnaire devra disposer lui-même des licences nécessaires à l'utilisation du logiciel retenu, celles-ci n'étant pas fournies par Malaria Consortium.</w:t>
      </w:r>
    </w:p>
    <w:p w14:paraId="2070EFF6" w14:textId="77777777" w:rsidR="000B7590" w:rsidRPr="005E13FC" w:rsidRDefault="000B7590" w:rsidP="005E13FC">
      <w:pPr>
        <w:jc w:val="both"/>
        <w:rPr>
          <w:rStyle w:val="lev"/>
          <w:lang w:val="fr-FR" w:eastAsia="en-US"/>
        </w:rPr>
      </w:pPr>
      <w:r w:rsidRPr="005E13FC">
        <w:rPr>
          <w:rStyle w:val="lev"/>
          <w:lang w:val="fr-FR" w:eastAsia="en-US"/>
        </w:rPr>
        <w:t xml:space="preserve">Rapportage </w:t>
      </w:r>
    </w:p>
    <w:p w14:paraId="27B2681E" w14:textId="77777777" w:rsidR="000B7590" w:rsidRDefault="000B7590" w:rsidP="005E13FC">
      <w:pPr>
        <w:jc w:val="both"/>
        <w:rPr>
          <w:lang w:val="fr-FR" w:eastAsia="en-US"/>
        </w:rPr>
      </w:pPr>
      <w:r w:rsidRPr="005E13FC">
        <w:rPr>
          <w:lang w:val="fr-FR" w:eastAsia="en-US"/>
        </w:rPr>
        <w:t>Le Un rapport préliminaire d'analyse devra être soumis au plus tard deux semaines après la fin de la collecte des données.</w:t>
      </w:r>
    </w:p>
    <w:p w14:paraId="103A42D5" w14:textId="77777777" w:rsidR="00B31E7A" w:rsidRPr="005E13FC" w:rsidRDefault="00B31E7A" w:rsidP="005E13FC">
      <w:pPr>
        <w:jc w:val="both"/>
        <w:rPr>
          <w:lang w:val="fr-FR" w:eastAsia="en-US"/>
        </w:rPr>
      </w:pPr>
    </w:p>
    <w:p w14:paraId="0250FFC6" w14:textId="77777777" w:rsidR="000B7590" w:rsidRPr="005E13FC" w:rsidRDefault="000B7590" w:rsidP="005E13FC">
      <w:pPr>
        <w:jc w:val="both"/>
        <w:rPr>
          <w:lang w:val="fr-FR" w:eastAsia="en-US"/>
        </w:rPr>
      </w:pPr>
      <w:r w:rsidRPr="005E13FC">
        <w:rPr>
          <w:lang w:val="fr-FR" w:eastAsia="en-US"/>
        </w:rPr>
        <w:lastRenderedPageBreak/>
        <w:t>Ce rapport présentera notamment :</w:t>
      </w:r>
    </w:p>
    <w:p w14:paraId="7E2AA5EF" w14:textId="77777777" w:rsidR="000B7590" w:rsidRPr="005E13FC" w:rsidRDefault="000B7590" w:rsidP="005E13FC">
      <w:pPr>
        <w:pStyle w:val="Paragraphedeliste"/>
        <w:numPr>
          <w:ilvl w:val="0"/>
          <w:numId w:val="10"/>
        </w:numPr>
        <w:jc w:val="both"/>
        <w:rPr>
          <w:lang w:val="fr-FR" w:eastAsia="en-US"/>
        </w:rPr>
      </w:pPr>
      <w:r w:rsidRPr="005E13FC">
        <w:rPr>
          <w:lang w:val="fr-FR" w:eastAsia="en-US"/>
        </w:rPr>
        <w:t>La couverture CPS des enfants âgés de 3 à 59 mois par cycle ;</w:t>
      </w:r>
    </w:p>
    <w:p w14:paraId="72B41B4A" w14:textId="77777777" w:rsidR="000B7590" w:rsidRPr="005E13FC" w:rsidRDefault="000B7590" w:rsidP="005E13FC">
      <w:pPr>
        <w:pStyle w:val="Paragraphedeliste"/>
        <w:numPr>
          <w:ilvl w:val="0"/>
          <w:numId w:val="10"/>
        </w:numPr>
        <w:jc w:val="both"/>
        <w:rPr>
          <w:lang w:val="fr-FR" w:eastAsia="en-US"/>
        </w:rPr>
      </w:pPr>
      <w:r w:rsidRPr="005E13FC">
        <w:rPr>
          <w:lang w:val="fr-FR" w:eastAsia="en-US"/>
        </w:rPr>
        <w:t>La proportion d'enfants ayant reçu au moins un (1), deux (2), trois (3), quatre (4) ou cinq (5) cycles de CPS ;</w:t>
      </w:r>
    </w:p>
    <w:p w14:paraId="74F8E6E7" w14:textId="77777777" w:rsidR="000B7590" w:rsidRPr="005E13FC" w:rsidRDefault="000B7590" w:rsidP="005E13FC">
      <w:pPr>
        <w:pStyle w:val="Paragraphedeliste"/>
        <w:numPr>
          <w:ilvl w:val="0"/>
          <w:numId w:val="10"/>
        </w:numPr>
        <w:jc w:val="both"/>
        <w:rPr>
          <w:lang w:val="fr-FR" w:eastAsia="en-US"/>
        </w:rPr>
      </w:pPr>
      <w:r w:rsidRPr="005E13FC">
        <w:rPr>
          <w:lang w:val="fr-FR" w:eastAsia="en-US"/>
        </w:rPr>
        <w:t>L'adhésion au traitement ;</w:t>
      </w:r>
    </w:p>
    <w:p w14:paraId="75DC61EF" w14:textId="0D2C3BA5" w:rsidR="000B7590" w:rsidRPr="005E13FC" w:rsidRDefault="000B7590" w:rsidP="005E13FC">
      <w:pPr>
        <w:pStyle w:val="Paragraphedeliste"/>
        <w:numPr>
          <w:ilvl w:val="0"/>
          <w:numId w:val="10"/>
        </w:numPr>
        <w:jc w:val="both"/>
        <w:rPr>
          <w:lang w:val="fr-FR" w:eastAsia="en-US"/>
        </w:rPr>
      </w:pPr>
      <w:r w:rsidRPr="005E13FC">
        <w:rPr>
          <w:lang w:val="fr-FR" w:eastAsia="en-US"/>
        </w:rPr>
        <w:t>Les autres indicateurs retenus dans le protocole d'enquête.</w:t>
      </w:r>
    </w:p>
    <w:p w14:paraId="22A60DBB" w14:textId="77777777" w:rsidR="000B7590" w:rsidRPr="005E13FC" w:rsidRDefault="000B7590" w:rsidP="005E13FC">
      <w:pPr>
        <w:jc w:val="both"/>
        <w:rPr>
          <w:lang w:val="fr-FR" w:eastAsia="en-US"/>
        </w:rPr>
      </w:pPr>
      <w:r w:rsidRPr="005E13FC">
        <w:rPr>
          <w:lang w:val="fr-FR" w:eastAsia="en-US"/>
        </w:rPr>
        <w:t>Au plus tard deux mois après la fin de la collecte, le soumissionnaire soumettra :</w:t>
      </w:r>
    </w:p>
    <w:p w14:paraId="69B63869" w14:textId="77777777" w:rsidR="000B7590" w:rsidRPr="005E13FC" w:rsidRDefault="000B7590" w:rsidP="005E13FC">
      <w:pPr>
        <w:pStyle w:val="Paragraphedeliste"/>
        <w:numPr>
          <w:ilvl w:val="0"/>
          <w:numId w:val="11"/>
        </w:numPr>
        <w:jc w:val="both"/>
        <w:rPr>
          <w:lang w:val="fr-FR" w:eastAsia="en-US"/>
        </w:rPr>
      </w:pPr>
      <w:r w:rsidRPr="005E13FC">
        <w:rPr>
          <w:lang w:val="fr-FR" w:eastAsia="en-US"/>
        </w:rPr>
        <w:t>Un rapport final narratif détaillant l'ensemble des résultats et analyses ;</w:t>
      </w:r>
    </w:p>
    <w:p w14:paraId="2B9FEF99" w14:textId="77777777" w:rsidR="000B7590" w:rsidRPr="005E13FC" w:rsidRDefault="000B7590" w:rsidP="005E13FC">
      <w:pPr>
        <w:pStyle w:val="Paragraphedeliste"/>
        <w:numPr>
          <w:ilvl w:val="0"/>
          <w:numId w:val="11"/>
        </w:numPr>
        <w:jc w:val="both"/>
        <w:rPr>
          <w:lang w:val="fr-FR" w:eastAsia="en-US"/>
        </w:rPr>
      </w:pPr>
      <w:r w:rsidRPr="005E13FC">
        <w:rPr>
          <w:lang w:val="fr-FR" w:eastAsia="en-US"/>
        </w:rPr>
        <w:t>Les annexes techniques nécessaires ;</w:t>
      </w:r>
    </w:p>
    <w:p w14:paraId="033B22D2" w14:textId="4F4F2DE1" w:rsidR="000B7590" w:rsidRPr="005E13FC" w:rsidRDefault="000B7590" w:rsidP="005E13FC">
      <w:pPr>
        <w:pStyle w:val="Paragraphedeliste"/>
        <w:numPr>
          <w:ilvl w:val="0"/>
          <w:numId w:val="11"/>
        </w:numPr>
        <w:jc w:val="both"/>
        <w:rPr>
          <w:lang w:val="fr-FR" w:eastAsia="en-US"/>
        </w:rPr>
      </w:pPr>
      <w:r w:rsidRPr="005E13FC">
        <w:rPr>
          <w:lang w:val="fr-FR" w:eastAsia="en-US"/>
        </w:rPr>
        <w:t>Un rapport financier complet.</w:t>
      </w:r>
    </w:p>
    <w:p w14:paraId="0EB38625" w14:textId="77777777" w:rsidR="000B7590" w:rsidRPr="005E13FC" w:rsidRDefault="000B7590" w:rsidP="005E13FC">
      <w:pPr>
        <w:jc w:val="both"/>
        <w:rPr>
          <w:lang w:val="fr-FR" w:eastAsia="en-US"/>
        </w:rPr>
      </w:pPr>
      <w:r w:rsidRPr="005E13FC">
        <w:rPr>
          <w:lang w:val="fr-FR" w:eastAsia="en-US"/>
        </w:rPr>
        <w:t xml:space="preserve">L'ensemble des rapports (préliminaire et final) devra être produit en français et en anglais.  </w:t>
      </w:r>
    </w:p>
    <w:p w14:paraId="2BEC013F" w14:textId="31B798C6" w:rsidR="000B7590" w:rsidRPr="005E13FC" w:rsidRDefault="000B7590" w:rsidP="005E13FC">
      <w:pPr>
        <w:jc w:val="both"/>
        <w:rPr>
          <w:lang w:val="fr-FR" w:eastAsia="en-US"/>
        </w:rPr>
      </w:pPr>
      <w:r w:rsidRPr="005E13FC">
        <w:rPr>
          <w:lang w:val="fr-FR" w:eastAsia="en-US"/>
        </w:rPr>
        <w:t>Une rencontre de cadrage sera organisée pour échanger sur ces détails et les deadlines.</w:t>
      </w:r>
    </w:p>
    <w:p w14:paraId="44856E13" w14:textId="63209DEB" w:rsidR="000B7590" w:rsidRPr="005E13FC" w:rsidRDefault="000B7590" w:rsidP="005E13FC">
      <w:pPr>
        <w:pStyle w:val="Titre1"/>
        <w:jc w:val="both"/>
        <w:rPr>
          <w:lang w:val="fr-FR"/>
        </w:rPr>
      </w:pPr>
      <w:r w:rsidRPr="005E13FC">
        <w:rPr>
          <w:lang w:val="fr-FR"/>
        </w:rPr>
        <w:t>Modalités de paiement</w:t>
      </w:r>
    </w:p>
    <w:p w14:paraId="7384FEF6" w14:textId="382F53FC" w:rsidR="000B7590" w:rsidRPr="005E13FC" w:rsidRDefault="000B7590" w:rsidP="005E13FC">
      <w:pPr>
        <w:jc w:val="both"/>
        <w:rPr>
          <w:lang w:val="fr-FR" w:eastAsia="en-US"/>
        </w:rPr>
      </w:pPr>
      <w:r w:rsidRPr="005E13FC">
        <w:rPr>
          <w:lang w:val="fr-FR" w:eastAsia="en-US"/>
        </w:rPr>
        <w:t>Malaria Consortium effectuera les paiements selon les modalités suivantes :</w:t>
      </w:r>
    </w:p>
    <w:p w14:paraId="4A07F1F0" w14:textId="46135E9F" w:rsidR="000B7590" w:rsidRPr="005E13FC" w:rsidRDefault="00403878" w:rsidP="005E13FC">
      <w:pPr>
        <w:pStyle w:val="Paragraphedeliste"/>
        <w:numPr>
          <w:ilvl w:val="0"/>
          <w:numId w:val="12"/>
        </w:numPr>
        <w:jc w:val="both"/>
        <w:rPr>
          <w:lang w:val="fr-FR" w:eastAsia="en-US"/>
        </w:rPr>
      </w:pPr>
      <w:r>
        <w:rPr>
          <w:lang w:val="fr-FR" w:eastAsia="en-US"/>
        </w:rPr>
        <w:t>2</w:t>
      </w:r>
      <w:r w:rsidR="000B7590" w:rsidRPr="005E13FC">
        <w:rPr>
          <w:lang w:val="fr-FR" w:eastAsia="en-US"/>
        </w:rPr>
        <w:t>0 % du montant contractuel à la signature du contrat afin de couvrir les coûts liés à la préparation de l'étude, à la formation des enquêteurs et à la collecte des données ;</w:t>
      </w:r>
    </w:p>
    <w:p w14:paraId="77015652" w14:textId="75702D0F" w:rsidR="000B7590" w:rsidRPr="005E13FC" w:rsidRDefault="00A022E3" w:rsidP="005E13FC">
      <w:pPr>
        <w:pStyle w:val="Paragraphedeliste"/>
        <w:numPr>
          <w:ilvl w:val="0"/>
          <w:numId w:val="12"/>
        </w:numPr>
        <w:jc w:val="both"/>
        <w:rPr>
          <w:lang w:val="fr-FR" w:eastAsia="en-US"/>
        </w:rPr>
      </w:pPr>
      <w:r>
        <w:rPr>
          <w:lang w:val="fr-FR" w:eastAsia="en-US"/>
        </w:rPr>
        <w:t>6</w:t>
      </w:r>
      <w:r w:rsidR="000B7590" w:rsidRPr="005E13FC">
        <w:rPr>
          <w:lang w:val="fr-FR" w:eastAsia="en-US"/>
        </w:rPr>
        <w:t>0 % après soumission et validation des justificatifs relatifs à la première tranche, notamment le rapport de formation, la liste des enquêteurs et le rapport de collecte des données ;</w:t>
      </w:r>
    </w:p>
    <w:p w14:paraId="566CAB6E" w14:textId="1AAD4E04" w:rsidR="000B7590" w:rsidRPr="005E13FC" w:rsidRDefault="00403878" w:rsidP="005E13FC">
      <w:pPr>
        <w:pStyle w:val="Paragraphedeliste"/>
        <w:numPr>
          <w:ilvl w:val="0"/>
          <w:numId w:val="12"/>
        </w:numPr>
        <w:jc w:val="both"/>
        <w:rPr>
          <w:lang w:val="fr-FR" w:eastAsia="en-US"/>
        </w:rPr>
      </w:pPr>
      <w:r>
        <w:rPr>
          <w:lang w:val="fr-FR" w:eastAsia="en-US"/>
        </w:rPr>
        <w:t>2</w:t>
      </w:r>
      <w:r w:rsidR="000B7590" w:rsidRPr="005E13FC">
        <w:rPr>
          <w:lang w:val="fr-FR" w:eastAsia="en-US"/>
        </w:rPr>
        <w:t>0 % après validation de l'ensemble des livrables contractuels.</w:t>
      </w:r>
    </w:p>
    <w:p w14:paraId="2EA5C0F7" w14:textId="453E51CC" w:rsidR="000B7590" w:rsidRPr="005E13FC" w:rsidRDefault="000B7590" w:rsidP="005E13FC">
      <w:pPr>
        <w:jc w:val="both"/>
        <w:rPr>
          <w:lang w:val="fr-FR" w:eastAsia="en-US"/>
        </w:rPr>
      </w:pPr>
      <w:r w:rsidRPr="005E13FC">
        <w:rPr>
          <w:lang w:val="fr-FR" w:eastAsia="en-US"/>
        </w:rPr>
        <w:t>Tous les paiements seront effectués en francs CFA par virement bancaire</w:t>
      </w:r>
      <w:r w:rsidR="00403878">
        <w:rPr>
          <w:lang w:val="fr-FR" w:eastAsia="en-US"/>
        </w:rPr>
        <w:t xml:space="preserve"> et les modalités restent flexibles dans la limite acceptable de Malaria Consortium</w:t>
      </w:r>
      <w:r w:rsidRPr="005E13FC">
        <w:rPr>
          <w:lang w:val="fr-FR" w:eastAsia="en-US"/>
        </w:rPr>
        <w:t xml:space="preserve">.  </w:t>
      </w:r>
    </w:p>
    <w:p w14:paraId="49391ED0" w14:textId="75D59FDC" w:rsidR="000B7590" w:rsidRPr="005E13FC" w:rsidRDefault="000B7590" w:rsidP="005E13FC">
      <w:pPr>
        <w:pStyle w:val="Titre1"/>
        <w:jc w:val="both"/>
        <w:rPr>
          <w:lang w:val="fr-FR"/>
        </w:rPr>
      </w:pPr>
      <w:r w:rsidRPr="005E13FC">
        <w:rPr>
          <w:lang w:val="fr-FR"/>
        </w:rPr>
        <w:t>Livrables</w:t>
      </w:r>
    </w:p>
    <w:p w14:paraId="42952746" w14:textId="3427A063" w:rsidR="000B7590" w:rsidRPr="005E13FC" w:rsidRDefault="000B7590" w:rsidP="005E13FC">
      <w:pPr>
        <w:numPr>
          <w:ilvl w:val="0"/>
          <w:numId w:val="14"/>
        </w:numPr>
        <w:spacing w:before="120" w:after="0"/>
        <w:contextualSpacing/>
        <w:jc w:val="both"/>
        <w:rPr>
          <w:lang w:val="fr-FR"/>
        </w:rPr>
      </w:pPr>
      <w:bookmarkStart w:id="0" w:name="_Hlk176370327"/>
      <w:r w:rsidRPr="005E13FC">
        <w:rPr>
          <w:lang w:val="fr-FR"/>
        </w:rPr>
        <w:t xml:space="preserve">Rapport de formation ; </w:t>
      </w:r>
    </w:p>
    <w:p w14:paraId="6F1080B1" w14:textId="77777777" w:rsidR="000B7590" w:rsidRPr="005E13FC" w:rsidRDefault="000B7590" w:rsidP="005E13FC">
      <w:pPr>
        <w:numPr>
          <w:ilvl w:val="0"/>
          <w:numId w:val="14"/>
        </w:numPr>
        <w:spacing w:before="120" w:after="0"/>
        <w:contextualSpacing/>
        <w:jc w:val="both"/>
        <w:rPr>
          <w:lang w:val="fr-FR"/>
        </w:rPr>
      </w:pPr>
      <w:r w:rsidRPr="005E13FC">
        <w:rPr>
          <w:lang w:val="fr-FR"/>
        </w:rPr>
        <w:t xml:space="preserve">Liste des enquêteurs ; </w:t>
      </w:r>
    </w:p>
    <w:p w14:paraId="67260574" w14:textId="08C03E23" w:rsidR="000B7590" w:rsidRPr="005E13FC" w:rsidRDefault="000B7590" w:rsidP="005E13FC">
      <w:pPr>
        <w:numPr>
          <w:ilvl w:val="0"/>
          <w:numId w:val="14"/>
        </w:numPr>
        <w:spacing w:before="120" w:after="0"/>
        <w:contextualSpacing/>
        <w:jc w:val="both"/>
        <w:rPr>
          <w:lang w:val="fr-FR"/>
        </w:rPr>
      </w:pPr>
      <w:r w:rsidRPr="005E13FC">
        <w:rPr>
          <w:lang w:val="fr-FR"/>
        </w:rPr>
        <w:t>Rapport de collecte de donnée</w:t>
      </w:r>
      <w:r w:rsidR="003D48C9" w:rsidRPr="005E13FC">
        <w:rPr>
          <w:lang w:val="fr-FR"/>
        </w:rPr>
        <w:t> ;</w:t>
      </w:r>
    </w:p>
    <w:p w14:paraId="38AC166C" w14:textId="77777777" w:rsidR="000B7590" w:rsidRPr="005E13FC" w:rsidRDefault="000B7590" w:rsidP="005E13FC">
      <w:pPr>
        <w:numPr>
          <w:ilvl w:val="0"/>
          <w:numId w:val="14"/>
        </w:numPr>
        <w:spacing w:after="0"/>
        <w:contextualSpacing/>
        <w:jc w:val="both"/>
        <w:rPr>
          <w:lang w:val="fr-FR" w:eastAsia="en-US"/>
        </w:rPr>
      </w:pPr>
      <w:r w:rsidRPr="005E13FC">
        <w:rPr>
          <w:lang w:val="fr-FR" w:eastAsia="en-US"/>
        </w:rPr>
        <w:t xml:space="preserve">Rapport de l’enquête de couverture en Français et en Anglais ; </w:t>
      </w:r>
    </w:p>
    <w:p w14:paraId="3CE4FA90" w14:textId="77777777" w:rsidR="000B7590" w:rsidRPr="005E13FC" w:rsidRDefault="000B7590" w:rsidP="005E13FC">
      <w:pPr>
        <w:numPr>
          <w:ilvl w:val="0"/>
          <w:numId w:val="14"/>
        </w:numPr>
        <w:spacing w:before="120" w:after="0"/>
        <w:contextualSpacing/>
        <w:jc w:val="both"/>
        <w:rPr>
          <w:lang w:val="fr-FR" w:eastAsia="en-US"/>
        </w:rPr>
      </w:pPr>
      <w:r w:rsidRPr="005E13FC">
        <w:rPr>
          <w:lang w:val="fr-FR" w:eastAsia="en-US"/>
        </w:rPr>
        <w:t xml:space="preserve">Les bases de données apurées au format Excel et Stata ; </w:t>
      </w:r>
    </w:p>
    <w:p w14:paraId="376D2B2C" w14:textId="77777777" w:rsidR="000B7590" w:rsidRPr="005E13FC" w:rsidRDefault="000B7590" w:rsidP="005E13FC">
      <w:pPr>
        <w:numPr>
          <w:ilvl w:val="0"/>
          <w:numId w:val="14"/>
        </w:numPr>
        <w:spacing w:before="120" w:after="0"/>
        <w:contextualSpacing/>
        <w:jc w:val="both"/>
        <w:rPr>
          <w:lang w:val="fr-FR" w:eastAsia="en-US"/>
        </w:rPr>
      </w:pPr>
      <w:r w:rsidRPr="005E13FC">
        <w:rPr>
          <w:lang w:val="fr-FR" w:eastAsia="en-US"/>
        </w:rPr>
        <w:t xml:space="preserve">Les Do files. </w:t>
      </w:r>
      <w:bookmarkEnd w:id="0"/>
    </w:p>
    <w:p w14:paraId="25A3DB23" w14:textId="5A07E3C5" w:rsidR="000B7590" w:rsidRPr="005E13FC" w:rsidRDefault="003D48C9" w:rsidP="005E13FC">
      <w:pPr>
        <w:pStyle w:val="Titre1"/>
        <w:jc w:val="both"/>
        <w:rPr>
          <w:lang w:val="fr-FR"/>
        </w:rPr>
      </w:pPr>
      <w:r w:rsidRPr="005E13FC">
        <w:rPr>
          <w:lang w:val="fr-FR"/>
        </w:rPr>
        <w:t>Exigences</w:t>
      </w:r>
    </w:p>
    <w:p w14:paraId="26F53C54" w14:textId="041FDFA2" w:rsidR="003D48C9" w:rsidRPr="005E13FC" w:rsidRDefault="003D48C9" w:rsidP="005E13FC">
      <w:pPr>
        <w:jc w:val="both"/>
        <w:rPr>
          <w:rStyle w:val="lev"/>
          <w:lang w:val="fr-FR" w:eastAsia="en-US"/>
        </w:rPr>
      </w:pPr>
      <w:r w:rsidRPr="005E13FC">
        <w:rPr>
          <w:rStyle w:val="lev"/>
          <w:lang w:val="fr-FR" w:eastAsia="en-US"/>
        </w:rPr>
        <w:t>Essentielles</w:t>
      </w:r>
    </w:p>
    <w:p w14:paraId="563119F4" w14:textId="687A83D6" w:rsidR="003D48C9" w:rsidRPr="005E13FC" w:rsidRDefault="003D48C9" w:rsidP="005E13FC">
      <w:pPr>
        <w:pStyle w:val="Paragraphedeliste"/>
        <w:numPr>
          <w:ilvl w:val="0"/>
          <w:numId w:val="15"/>
        </w:numPr>
        <w:jc w:val="both"/>
        <w:rPr>
          <w:lang w:val="fr-FR" w:eastAsia="en-US"/>
        </w:rPr>
      </w:pPr>
      <w:r w:rsidRPr="005E13FC">
        <w:rPr>
          <w:lang w:val="fr-FR" w:eastAsia="en-US"/>
        </w:rPr>
        <w:t xml:space="preserve">Expérience dans la conception et la conduite d’enquête similaire ; </w:t>
      </w:r>
    </w:p>
    <w:p w14:paraId="34BD7BA9" w14:textId="4B9036A2" w:rsidR="003D48C9" w:rsidRPr="005E13FC" w:rsidRDefault="003D48C9" w:rsidP="005E13FC">
      <w:pPr>
        <w:pStyle w:val="Paragraphedeliste"/>
        <w:numPr>
          <w:ilvl w:val="0"/>
          <w:numId w:val="15"/>
        </w:numPr>
        <w:jc w:val="both"/>
        <w:rPr>
          <w:lang w:val="fr-FR" w:eastAsia="en-US"/>
        </w:rPr>
      </w:pPr>
      <w:r w:rsidRPr="005E13FC">
        <w:rPr>
          <w:lang w:val="fr-FR" w:eastAsia="en-US"/>
        </w:rPr>
        <w:t xml:space="preserve">Connaissances du système de santé du Burkina Faso ; </w:t>
      </w:r>
    </w:p>
    <w:p w14:paraId="643DC9F3" w14:textId="4420E95F" w:rsidR="003D48C9" w:rsidRPr="005E13FC" w:rsidRDefault="003D48C9" w:rsidP="005E13FC">
      <w:pPr>
        <w:pStyle w:val="Paragraphedeliste"/>
        <w:numPr>
          <w:ilvl w:val="0"/>
          <w:numId w:val="15"/>
        </w:numPr>
        <w:jc w:val="both"/>
        <w:rPr>
          <w:lang w:val="fr-FR" w:eastAsia="en-US"/>
        </w:rPr>
      </w:pPr>
      <w:r w:rsidRPr="005E13FC">
        <w:rPr>
          <w:lang w:val="fr-FR" w:eastAsia="en-US"/>
        </w:rPr>
        <w:t xml:space="preserve">Equipe pluridisciplinaire (Epidémiologiste, biostatisticien ; programmeur) ; </w:t>
      </w:r>
    </w:p>
    <w:p w14:paraId="31795B07" w14:textId="7F380661" w:rsidR="003D48C9" w:rsidRPr="005E13FC" w:rsidRDefault="003D48C9" w:rsidP="005E13FC">
      <w:pPr>
        <w:pStyle w:val="Paragraphedeliste"/>
        <w:numPr>
          <w:ilvl w:val="0"/>
          <w:numId w:val="15"/>
        </w:numPr>
        <w:jc w:val="both"/>
        <w:rPr>
          <w:lang w:val="fr-FR" w:eastAsia="en-US"/>
        </w:rPr>
      </w:pPr>
      <w:r w:rsidRPr="005E13FC">
        <w:rPr>
          <w:lang w:val="fr-FR" w:eastAsia="en-US"/>
        </w:rPr>
        <w:lastRenderedPageBreak/>
        <w:t xml:space="preserve">Maitrise de l’Anglais et du français ;  </w:t>
      </w:r>
    </w:p>
    <w:p w14:paraId="17A5D6AA" w14:textId="20E75D1D" w:rsidR="003D48C9" w:rsidRPr="005E13FC" w:rsidRDefault="003D48C9" w:rsidP="005E13FC">
      <w:pPr>
        <w:pStyle w:val="Paragraphedeliste"/>
        <w:numPr>
          <w:ilvl w:val="0"/>
          <w:numId w:val="15"/>
        </w:numPr>
        <w:jc w:val="both"/>
        <w:rPr>
          <w:lang w:val="fr-FR" w:eastAsia="en-US"/>
        </w:rPr>
      </w:pPr>
      <w:r w:rsidRPr="005E13FC">
        <w:rPr>
          <w:lang w:val="fr-FR" w:eastAsia="en-US"/>
        </w:rPr>
        <w:t>Solides compétences en Microsoft Office ;</w:t>
      </w:r>
    </w:p>
    <w:p w14:paraId="5028F74C" w14:textId="0D5C3DA2" w:rsidR="003D48C9" w:rsidRPr="005E13FC" w:rsidRDefault="003D48C9" w:rsidP="005E13FC">
      <w:pPr>
        <w:pStyle w:val="Paragraphedeliste"/>
        <w:numPr>
          <w:ilvl w:val="0"/>
          <w:numId w:val="15"/>
        </w:numPr>
        <w:jc w:val="both"/>
        <w:rPr>
          <w:lang w:val="fr-FR" w:eastAsia="en-US"/>
        </w:rPr>
      </w:pPr>
      <w:r w:rsidRPr="005E13FC">
        <w:rPr>
          <w:lang w:val="fr-FR" w:eastAsia="en-US"/>
        </w:rPr>
        <w:t>Accès et familiarité avec les plateformes de communication appropriées, de préférence Microsoft Teams ou Zoom ;</w:t>
      </w:r>
    </w:p>
    <w:p w14:paraId="1A8F6E37" w14:textId="1DEE09AC" w:rsidR="003D48C9" w:rsidRPr="005E13FC" w:rsidRDefault="003D48C9" w:rsidP="005E13FC">
      <w:pPr>
        <w:pStyle w:val="Paragraphedeliste"/>
        <w:numPr>
          <w:ilvl w:val="0"/>
          <w:numId w:val="15"/>
        </w:numPr>
        <w:jc w:val="both"/>
        <w:rPr>
          <w:lang w:val="fr-FR" w:eastAsia="en-US"/>
        </w:rPr>
      </w:pPr>
      <w:r w:rsidRPr="005E13FC">
        <w:rPr>
          <w:lang w:val="fr-FR" w:eastAsia="en-US"/>
        </w:rPr>
        <w:t xml:space="preserve">Maîtrise de la collecte des données avec les logiciels mobiles comme </w:t>
      </w:r>
      <w:proofErr w:type="spellStart"/>
      <w:r w:rsidRPr="005E13FC">
        <w:rPr>
          <w:lang w:val="fr-FR" w:eastAsia="en-US"/>
        </w:rPr>
        <w:t>surveyCTO</w:t>
      </w:r>
      <w:proofErr w:type="spellEnd"/>
      <w:r w:rsidRPr="005E13FC">
        <w:rPr>
          <w:lang w:val="fr-FR" w:eastAsia="en-US"/>
        </w:rPr>
        <w:t>.</w:t>
      </w:r>
    </w:p>
    <w:p w14:paraId="63B24C43" w14:textId="44501E4C" w:rsidR="003D48C9" w:rsidRPr="005E13FC" w:rsidRDefault="003D48C9" w:rsidP="005E13FC">
      <w:pPr>
        <w:jc w:val="both"/>
        <w:rPr>
          <w:rStyle w:val="lev"/>
          <w:lang w:val="fr-FR" w:eastAsia="en-US"/>
        </w:rPr>
      </w:pPr>
      <w:r w:rsidRPr="005E13FC">
        <w:rPr>
          <w:rStyle w:val="lev"/>
          <w:lang w:val="fr-FR" w:eastAsia="en-US"/>
        </w:rPr>
        <w:t>Atouts</w:t>
      </w:r>
    </w:p>
    <w:p w14:paraId="23681F67" w14:textId="3DC3FDD4" w:rsidR="003D48C9" w:rsidRPr="005E13FC" w:rsidRDefault="003D48C9" w:rsidP="005E13FC">
      <w:pPr>
        <w:pStyle w:val="Paragraphedeliste"/>
        <w:numPr>
          <w:ilvl w:val="0"/>
          <w:numId w:val="17"/>
        </w:numPr>
        <w:jc w:val="both"/>
        <w:rPr>
          <w:lang w:val="fr-FR" w:eastAsia="en-US"/>
        </w:rPr>
      </w:pPr>
      <w:r w:rsidRPr="005E13FC">
        <w:rPr>
          <w:lang w:val="fr-FR" w:eastAsia="en-US"/>
        </w:rPr>
        <w:t>Bonnes connaissances de la CPS ;</w:t>
      </w:r>
    </w:p>
    <w:p w14:paraId="369D693C" w14:textId="77227F54" w:rsidR="003D48C9" w:rsidRPr="005E13FC" w:rsidRDefault="003D48C9" w:rsidP="005E13FC">
      <w:pPr>
        <w:pStyle w:val="Paragraphedeliste"/>
        <w:numPr>
          <w:ilvl w:val="0"/>
          <w:numId w:val="17"/>
        </w:numPr>
        <w:jc w:val="both"/>
        <w:rPr>
          <w:lang w:val="fr-FR" w:eastAsia="en-US"/>
        </w:rPr>
      </w:pPr>
      <w:r w:rsidRPr="005E13FC">
        <w:rPr>
          <w:lang w:val="fr-FR" w:eastAsia="en-US"/>
        </w:rPr>
        <w:t>Expérience de travail avec les parties prenantes (</w:t>
      </w:r>
      <w:r w:rsidR="00D66192" w:rsidRPr="005E13FC">
        <w:rPr>
          <w:lang w:val="fr-FR" w:eastAsia="en-US"/>
        </w:rPr>
        <w:t>ministère de la Santé</w:t>
      </w:r>
      <w:r w:rsidRPr="005E13FC">
        <w:rPr>
          <w:lang w:val="fr-FR" w:eastAsia="en-US"/>
        </w:rPr>
        <w:t>, SP/PALU, Malaria consortium ; autres ONG intervenant dans la santé).</w:t>
      </w:r>
    </w:p>
    <w:p w14:paraId="76BED09F" w14:textId="584F70A4" w:rsidR="003D48C9" w:rsidRPr="005E13FC" w:rsidRDefault="003D48C9" w:rsidP="005E13FC">
      <w:pPr>
        <w:pStyle w:val="Titre1"/>
        <w:jc w:val="both"/>
        <w:rPr>
          <w:lang w:val="fr-FR"/>
        </w:rPr>
      </w:pPr>
      <w:r w:rsidRPr="005E13FC">
        <w:rPr>
          <w:lang w:val="fr-FR"/>
        </w:rPr>
        <w:t>Informations administratives</w:t>
      </w:r>
    </w:p>
    <w:p w14:paraId="744CAE2B" w14:textId="04D3C7B4" w:rsidR="003D48C9" w:rsidRPr="005E13FC" w:rsidRDefault="003D48C9" w:rsidP="005E13FC">
      <w:pPr>
        <w:jc w:val="both"/>
        <w:rPr>
          <w:lang w:val="fr-FR" w:eastAsia="en-US"/>
        </w:rPr>
      </w:pPr>
      <w:r w:rsidRPr="005E13FC">
        <w:rPr>
          <w:lang w:val="fr-FR" w:eastAsia="en-US"/>
        </w:rPr>
        <w:t xml:space="preserve">Les TDRs et les documents de réponses peuvent être consultés sur la page internet de Malaria Consortium, </w:t>
      </w:r>
      <w:hyperlink r:id="rId8" w:history="1">
        <w:r w:rsidRPr="005E13FC">
          <w:rPr>
            <w:rStyle w:val="Lienhypertexte"/>
            <w:lang w:val="fr-FR" w:eastAsia="en-US"/>
          </w:rPr>
          <w:t>https://www.malariaconsortium.org/tenders</w:t>
        </w:r>
      </w:hyperlink>
      <w:r w:rsidRPr="005E13FC">
        <w:rPr>
          <w:lang w:val="fr-FR" w:eastAsia="en-US"/>
        </w:rPr>
        <w:t xml:space="preserve"> .</w:t>
      </w:r>
    </w:p>
    <w:p w14:paraId="3CC294F1" w14:textId="77777777" w:rsidR="003D48C9" w:rsidRPr="005E13FC" w:rsidRDefault="003D48C9" w:rsidP="005E13FC">
      <w:pPr>
        <w:jc w:val="both"/>
        <w:rPr>
          <w:lang w:val="fr-FR" w:eastAsia="en-US"/>
        </w:rPr>
      </w:pPr>
      <w:r w:rsidRPr="005E13FC">
        <w:rPr>
          <w:lang w:val="fr-FR" w:eastAsia="en-US"/>
        </w:rPr>
        <w:t xml:space="preserve"> L’offre soumise doit inclure les informations suivantes : </w:t>
      </w:r>
    </w:p>
    <w:p w14:paraId="0FD8BBFE"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Document de réponse à l’appel d’offre rempli, y compris les pièces jointes suivantes ;</w:t>
      </w:r>
    </w:p>
    <w:p w14:paraId="08B0BBF8"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 xml:space="preserve">Preuve d’assurances appropriées ; </w:t>
      </w:r>
    </w:p>
    <w:p w14:paraId="7F27D183"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Copies des politiques internes ;</w:t>
      </w:r>
    </w:p>
    <w:p w14:paraId="359D862D"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 xml:space="preserve">Signature de l’engagement à la conformité aux politiques de Malaria Consortium ; </w:t>
      </w:r>
    </w:p>
    <w:p w14:paraId="7731424A"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Attestation de situation fiscale ;</w:t>
      </w:r>
    </w:p>
    <w:p w14:paraId="37C8F7D6"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Attestation de caisse de sécurité sociale CNSS ;</w:t>
      </w:r>
    </w:p>
    <w:p w14:paraId="33D89666"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Attestation de non-faillite ;</w:t>
      </w:r>
    </w:p>
    <w:p w14:paraId="170E8FBD"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Certificat du chiffre d’affaires de 2023 ; 2024 et 2025 ;</w:t>
      </w:r>
    </w:p>
    <w:p w14:paraId="24AD007B" w14:textId="77777777" w:rsidR="003D48C9" w:rsidRPr="005E13FC" w:rsidRDefault="003D48C9" w:rsidP="005E13FC">
      <w:pPr>
        <w:pStyle w:val="Paragraphedeliste"/>
        <w:numPr>
          <w:ilvl w:val="0"/>
          <w:numId w:val="19"/>
        </w:numPr>
        <w:jc w:val="both"/>
        <w:rPr>
          <w:lang w:val="fr-FR" w:eastAsia="en-US"/>
        </w:rPr>
      </w:pPr>
      <w:r w:rsidRPr="005E13FC">
        <w:rPr>
          <w:lang w:val="fr-FR" w:eastAsia="en-US"/>
        </w:rPr>
        <w:t>Photocopie du registre de commerce et du crédit mobilier (RCCM) et du numéro IFU ;</w:t>
      </w:r>
    </w:p>
    <w:p w14:paraId="15761B11" w14:textId="1BF838B7" w:rsidR="003D48C9" w:rsidRPr="005E13FC" w:rsidRDefault="003D48C9" w:rsidP="005E13FC">
      <w:pPr>
        <w:pStyle w:val="Paragraphedeliste"/>
        <w:numPr>
          <w:ilvl w:val="0"/>
          <w:numId w:val="19"/>
        </w:numPr>
        <w:jc w:val="both"/>
        <w:rPr>
          <w:lang w:val="fr-FR" w:eastAsia="en-US"/>
        </w:rPr>
      </w:pPr>
      <w:r w:rsidRPr="005E13FC">
        <w:rPr>
          <w:lang w:val="fr-FR" w:eastAsia="en-US"/>
        </w:rPr>
        <w:t>Une offre financière détaillées.</w:t>
      </w:r>
    </w:p>
    <w:p w14:paraId="67087BEF" w14:textId="231C1C8F" w:rsidR="003D48C9" w:rsidRPr="005E13FC" w:rsidRDefault="003D48C9" w:rsidP="005E13FC">
      <w:pPr>
        <w:jc w:val="both"/>
        <w:rPr>
          <w:rStyle w:val="lev"/>
          <w:lang w:val="fr-FR" w:eastAsia="en-US"/>
        </w:rPr>
      </w:pPr>
      <w:r w:rsidRPr="005E13FC">
        <w:rPr>
          <w:rStyle w:val="lev"/>
          <w:lang w:val="fr-FR" w:eastAsia="en-US"/>
        </w:rPr>
        <w:t>Critères d’évaluation</w:t>
      </w:r>
    </w:p>
    <w:p w14:paraId="18D023E4" w14:textId="69B61E1A" w:rsidR="00E607DB" w:rsidRPr="005E13FC" w:rsidRDefault="00E607DB" w:rsidP="005E13FC">
      <w:pPr>
        <w:jc w:val="both"/>
        <w:rPr>
          <w:lang w:val="fr-FR" w:eastAsia="en-US"/>
        </w:rPr>
      </w:pPr>
      <w:r w:rsidRPr="005E13FC">
        <w:rPr>
          <w:lang w:val="fr-FR" w:eastAsia="en-US"/>
        </w:rPr>
        <w:t xml:space="preserve">Les offres seront évaluées en deux étapes à savoir une Évaluation technique </w:t>
      </w:r>
      <w:r w:rsidR="00FF513E" w:rsidRPr="005E13FC">
        <w:rPr>
          <w:lang w:val="fr-FR" w:eastAsia="en-US"/>
        </w:rPr>
        <w:t xml:space="preserve">et une </w:t>
      </w:r>
      <w:r w:rsidRPr="005E13FC">
        <w:rPr>
          <w:lang w:val="fr-FR" w:eastAsia="en-US"/>
        </w:rPr>
        <w:t>Évaluation financière.</w:t>
      </w:r>
    </w:p>
    <w:p w14:paraId="32A880C8" w14:textId="7B7C7494" w:rsidR="00E607DB" w:rsidRPr="005E13FC" w:rsidRDefault="00E607DB" w:rsidP="005E13FC">
      <w:pPr>
        <w:jc w:val="both"/>
        <w:rPr>
          <w:lang w:val="fr-FR" w:eastAsia="en-US"/>
        </w:rPr>
      </w:pPr>
      <w:r w:rsidRPr="005E13FC">
        <w:rPr>
          <w:lang w:val="fr-FR" w:eastAsia="en-US"/>
        </w:rPr>
        <w:t>Pour être déclarée techniquement conforme, une offre devra obtenir une note minimale de 60 points sur 100.</w:t>
      </w:r>
    </w:p>
    <w:p w14:paraId="11A622AB" w14:textId="05613640" w:rsidR="006145C5" w:rsidRDefault="00E607DB" w:rsidP="005E13FC">
      <w:pPr>
        <w:jc w:val="both"/>
        <w:rPr>
          <w:lang w:val="fr-FR" w:eastAsia="en-US"/>
        </w:rPr>
      </w:pPr>
      <w:r w:rsidRPr="005E13FC">
        <w:rPr>
          <w:lang w:val="fr-FR" w:eastAsia="en-US"/>
        </w:rPr>
        <w:t>Toute offre n'atteignant pas ce seuil sera considérée comme non conforme et ne sera pas retenue pour l'évaluation financière.</w:t>
      </w:r>
    </w:p>
    <w:p w14:paraId="18B65694" w14:textId="77777777" w:rsidR="00B31E7A" w:rsidRDefault="00B31E7A" w:rsidP="005E13FC">
      <w:pPr>
        <w:jc w:val="both"/>
        <w:rPr>
          <w:lang w:val="fr-FR" w:eastAsia="en-US"/>
        </w:rPr>
      </w:pPr>
    </w:p>
    <w:p w14:paraId="5381972D" w14:textId="77777777" w:rsidR="00B31E7A" w:rsidRDefault="00B31E7A" w:rsidP="005E13FC">
      <w:pPr>
        <w:jc w:val="both"/>
        <w:rPr>
          <w:lang w:val="fr-FR" w:eastAsia="en-US"/>
        </w:rPr>
      </w:pPr>
    </w:p>
    <w:p w14:paraId="41DFB462" w14:textId="77777777" w:rsidR="00B31E7A" w:rsidRDefault="00B31E7A" w:rsidP="005E13FC">
      <w:pPr>
        <w:jc w:val="both"/>
        <w:rPr>
          <w:lang w:val="fr-FR" w:eastAsia="en-US"/>
        </w:rPr>
      </w:pPr>
    </w:p>
    <w:p w14:paraId="36A69D9A" w14:textId="77777777" w:rsidR="00B31E7A" w:rsidRDefault="00B31E7A" w:rsidP="005E13FC">
      <w:pPr>
        <w:jc w:val="both"/>
        <w:rPr>
          <w:lang w:val="fr-FR" w:eastAsia="en-US"/>
        </w:rPr>
      </w:pPr>
    </w:p>
    <w:p w14:paraId="5B56C0B9" w14:textId="77777777" w:rsidR="00B31E7A" w:rsidRPr="005E13FC" w:rsidRDefault="00B31E7A" w:rsidP="005E13FC">
      <w:pPr>
        <w:jc w:val="both"/>
        <w:rPr>
          <w:lang w:val="fr-FR" w:eastAsia="en-US"/>
        </w:rPr>
      </w:pPr>
    </w:p>
    <w:p w14:paraId="42755602" w14:textId="7A2609AA" w:rsidR="00C942AD" w:rsidRPr="005E13FC" w:rsidRDefault="00C942AD" w:rsidP="005E13FC">
      <w:pPr>
        <w:pStyle w:val="Paragraphedeliste"/>
        <w:numPr>
          <w:ilvl w:val="0"/>
          <w:numId w:val="20"/>
        </w:numPr>
        <w:jc w:val="both"/>
        <w:rPr>
          <w:lang w:val="fr-FR" w:eastAsia="en-US"/>
        </w:rPr>
      </w:pPr>
      <w:r w:rsidRPr="005E13FC">
        <w:rPr>
          <w:lang w:val="fr-FR" w:eastAsia="en-US"/>
        </w:rPr>
        <w:lastRenderedPageBreak/>
        <w:t>Evaluation technique</w:t>
      </w:r>
    </w:p>
    <w:tbl>
      <w:tblPr>
        <w:tblStyle w:val="Grilledutableau"/>
        <w:tblW w:w="0" w:type="auto"/>
        <w:tblLook w:val="04A0" w:firstRow="1" w:lastRow="0" w:firstColumn="1" w:lastColumn="0" w:noHBand="0" w:noVBand="1"/>
      </w:tblPr>
      <w:tblGrid>
        <w:gridCol w:w="3020"/>
        <w:gridCol w:w="3021"/>
        <w:gridCol w:w="3021"/>
      </w:tblGrid>
      <w:tr w:rsidR="00173E62" w:rsidRPr="005E13FC" w14:paraId="7477C152" w14:textId="77777777" w:rsidTr="00D66192">
        <w:tc>
          <w:tcPr>
            <w:tcW w:w="3020" w:type="dxa"/>
          </w:tcPr>
          <w:p w14:paraId="4EF2843A" w14:textId="7A802A61" w:rsidR="00173E62" w:rsidRPr="005E13FC" w:rsidRDefault="00173E62" w:rsidP="005E13FC">
            <w:pPr>
              <w:jc w:val="both"/>
              <w:rPr>
                <w:lang w:val="fr-FR" w:eastAsia="en-US"/>
              </w:rPr>
            </w:pPr>
            <w:r w:rsidRPr="005E13FC">
              <w:rPr>
                <w:lang w:val="fr-FR" w:eastAsia="en-US"/>
              </w:rPr>
              <w:t>Critère d’évaluation</w:t>
            </w:r>
          </w:p>
        </w:tc>
        <w:tc>
          <w:tcPr>
            <w:tcW w:w="3021" w:type="dxa"/>
          </w:tcPr>
          <w:p w14:paraId="48C77398" w14:textId="422BCBDF" w:rsidR="00173E62" w:rsidRPr="005E13FC" w:rsidRDefault="00D66192" w:rsidP="005E13FC">
            <w:pPr>
              <w:jc w:val="both"/>
              <w:rPr>
                <w:lang w:val="fr-FR" w:eastAsia="en-US"/>
              </w:rPr>
            </w:pPr>
            <w:r w:rsidRPr="005E13FC">
              <w:rPr>
                <w:lang w:val="fr-FR" w:eastAsia="en-US"/>
              </w:rPr>
              <w:t>Eléments</w:t>
            </w:r>
            <w:r w:rsidR="00173E62" w:rsidRPr="005E13FC">
              <w:rPr>
                <w:lang w:val="fr-FR" w:eastAsia="en-US"/>
              </w:rPr>
              <w:t xml:space="preserve"> </w:t>
            </w:r>
            <w:r w:rsidRPr="005E13FC">
              <w:rPr>
                <w:lang w:val="fr-FR" w:eastAsia="en-US"/>
              </w:rPr>
              <w:t>appréciés</w:t>
            </w:r>
          </w:p>
        </w:tc>
        <w:tc>
          <w:tcPr>
            <w:tcW w:w="3021" w:type="dxa"/>
            <w:vAlign w:val="center"/>
          </w:tcPr>
          <w:p w14:paraId="26AA75D9" w14:textId="2C2594AA" w:rsidR="00173E62" w:rsidRPr="005E13FC" w:rsidRDefault="00173E62" w:rsidP="00D66192">
            <w:pPr>
              <w:jc w:val="center"/>
              <w:rPr>
                <w:lang w:val="fr-FR" w:eastAsia="en-US"/>
              </w:rPr>
            </w:pPr>
            <w:r w:rsidRPr="005E13FC">
              <w:rPr>
                <w:lang w:val="fr-FR" w:eastAsia="en-US"/>
              </w:rPr>
              <w:t>Score</w:t>
            </w:r>
            <w:r w:rsidR="00253BD2" w:rsidRPr="005E13FC">
              <w:rPr>
                <w:lang w:val="fr-FR" w:eastAsia="en-US"/>
              </w:rPr>
              <w:t xml:space="preserve"> (Points)</w:t>
            </w:r>
          </w:p>
        </w:tc>
      </w:tr>
      <w:tr w:rsidR="00173E62" w:rsidRPr="005E13FC" w14:paraId="4E81CF91" w14:textId="77777777" w:rsidTr="00D66192">
        <w:tc>
          <w:tcPr>
            <w:tcW w:w="3020" w:type="dxa"/>
          </w:tcPr>
          <w:p w14:paraId="31406F89" w14:textId="53324C73" w:rsidR="00173E62" w:rsidRPr="005E13FC" w:rsidRDefault="00173E62" w:rsidP="005E13FC">
            <w:pPr>
              <w:jc w:val="both"/>
              <w:rPr>
                <w:lang w:val="fr-FR" w:eastAsia="en-US"/>
              </w:rPr>
            </w:pPr>
            <w:r w:rsidRPr="005E13FC">
              <w:rPr>
                <w:lang w:val="fr-FR" w:eastAsia="en-US"/>
              </w:rPr>
              <w:t>Compréhensions des TDRs</w:t>
            </w:r>
          </w:p>
        </w:tc>
        <w:tc>
          <w:tcPr>
            <w:tcW w:w="3021" w:type="dxa"/>
          </w:tcPr>
          <w:p w14:paraId="1003A148" w14:textId="17B0CCF7" w:rsidR="00173E62" w:rsidRPr="005E13FC" w:rsidRDefault="00253BD2" w:rsidP="005E13FC">
            <w:pPr>
              <w:jc w:val="both"/>
              <w:rPr>
                <w:lang w:val="fr-FR" w:eastAsia="en-US"/>
              </w:rPr>
            </w:pPr>
            <w:r w:rsidRPr="005E13FC">
              <w:rPr>
                <w:lang w:val="fr-FR" w:eastAsia="en-US"/>
              </w:rPr>
              <w:t>Pertinence de la compréhension de la mission, adéquation de l'approche proposée et conformité aux exigences de l'appel d'offres (Sections 1 et 2 du document de réponse)</w:t>
            </w:r>
          </w:p>
        </w:tc>
        <w:tc>
          <w:tcPr>
            <w:tcW w:w="3021" w:type="dxa"/>
            <w:vAlign w:val="center"/>
          </w:tcPr>
          <w:p w14:paraId="764EF7B5" w14:textId="64B6A42B" w:rsidR="00173E62" w:rsidRPr="005E13FC" w:rsidRDefault="00253BD2" w:rsidP="00D66192">
            <w:pPr>
              <w:jc w:val="center"/>
              <w:rPr>
                <w:lang w:val="fr-FR" w:eastAsia="en-US"/>
              </w:rPr>
            </w:pPr>
            <w:r w:rsidRPr="005E13FC">
              <w:rPr>
                <w:lang w:val="fr-FR" w:eastAsia="en-US"/>
              </w:rPr>
              <w:t>20</w:t>
            </w:r>
          </w:p>
        </w:tc>
      </w:tr>
      <w:tr w:rsidR="00173E62" w:rsidRPr="005E13FC" w14:paraId="5C5D13D5" w14:textId="77777777" w:rsidTr="00D66192">
        <w:tc>
          <w:tcPr>
            <w:tcW w:w="3020" w:type="dxa"/>
          </w:tcPr>
          <w:p w14:paraId="6504CE68" w14:textId="3F258298" w:rsidR="00173E62" w:rsidRPr="005E13FC" w:rsidRDefault="00253BD2" w:rsidP="005E13FC">
            <w:pPr>
              <w:jc w:val="both"/>
              <w:rPr>
                <w:lang w:val="fr-FR" w:eastAsia="en-US"/>
              </w:rPr>
            </w:pPr>
            <w:r w:rsidRPr="005E13FC">
              <w:rPr>
                <w:lang w:val="fr-FR" w:eastAsia="en-US"/>
              </w:rPr>
              <w:t xml:space="preserve">Expériences capacité </w:t>
            </w:r>
            <w:r w:rsidR="00147531" w:rsidRPr="005E13FC">
              <w:rPr>
                <w:lang w:val="fr-FR" w:eastAsia="en-US"/>
              </w:rPr>
              <w:t>internes</w:t>
            </w:r>
          </w:p>
        </w:tc>
        <w:tc>
          <w:tcPr>
            <w:tcW w:w="3021" w:type="dxa"/>
          </w:tcPr>
          <w:p w14:paraId="69DD8192" w14:textId="77777777" w:rsidR="00173E62" w:rsidRPr="005E13FC" w:rsidRDefault="00147531" w:rsidP="005E13FC">
            <w:pPr>
              <w:pStyle w:val="Paragraphedeliste"/>
              <w:numPr>
                <w:ilvl w:val="0"/>
                <w:numId w:val="21"/>
              </w:numPr>
              <w:jc w:val="both"/>
              <w:rPr>
                <w:lang w:val="fr-FR" w:eastAsia="en-US"/>
              </w:rPr>
            </w:pPr>
            <w:r w:rsidRPr="005E13FC">
              <w:rPr>
                <w:lang w:val="fr-FR" w:eastAsia="en-US"/>
              </w:rPr>
              <w:t>Expérience générale et spécifique dans la réalisation d'enquêtes similaires</w:t>
            </w:r>
          </w:p>
          <w:p w14:paraId="5D42E1C3" w14:textId="77777777" w:rsidR="00147531" w:rsidRPr="005E13FC" w:rsidRDefault="003B1044" w:rsidP="005E13FC">
            <w:pPr>
              <w:pStyle w:val="Paragraphedeliste"/>
              <w:numPr>
                <w:ilvl w:val="0"/>
                <w:numId w:val="21"/>
              </w:numPr>
              <w:jc w:val="both"/>
              <w:rPr>
                <w:lang w:val="fr-FR" w:eastAsia="en-US"/>
              </w:rPr>
            </w:pPr>
            <w:r w:rsidRPr="005E13FC">
              <w:rPr>
                <w:lang w:val="fr-FR" w:eastAsia="en-US"/>
              </w:rPr>
              <w:t>Références de missions comparables exécutées avec succès</w:t>
            </w:r>
          </w:p>
          <w:p w14:paraId="0425D38D" w14:textId="77777777" w:rsidR="003B1044" w:rsidRPr="005E13FC" w:rsidRDefault="003B1044" w:rsidP="005E13FC">
            <w:pPr>
              <w:pStyle w:val="Paragraphedeliste"/>
              <w:numPr>
                <w:ilvl w:val="0"/>
                <w:numId w:val="21"/>
              </w:numPr>
              <w:jc w:val="both"/>
              <w:rPr>
                <w:lang w:val="fr-FR" w:eastAsia="en-US"/>
              </w:rPr>
            </w:pPr>
            <w:r w:rsidRPr="005E13FC">
              <w:rPr>
                <w:lang w:val="fr-FR" w:eastAsia="en-US"/>
              </w:rPr>
              <w:t>Qualité et pertinence des services proposés</w:t>
            </w:r>
          </w:p>
          <w:p w14:paraId="276A78BC" w14:textId="77777777" w:rsidR="003B1044" w:rsidRPr="005E13FC" w:rsidRDefault="003B1044" w:rsidP="005E13FC">
            <w:pPr>
              <w:pStyle w:val="Paragraphedeliste"/>
              <w:numPr>
                <w:ilvl w:val="0"/>
                <w:numId w:val="21"/>
              </w:numPr>
              <w:jc w:val="both"/>
              <w:rPr>
                <w:lang w:val="fr-FR" w:eastAsia="en-US"/>
              </w:rPr>
            </w:pPr>
            <w:r w:rsidRPr="005E13FC">
              <w:rPr>
                <w:lang w:val="fr-FR" w:eastAsia="en-US"/>
              </w:rPr>
              <w:t>Existence et qualité des politiques et procédures internes</w:t>
            </w:r>
          </w:p>
          <w:p w14:paraId="046F58BB" w14:textId="03786817" w:rsidR="00DF184E" w:rsidRPr="005E13FC" w:rsidRDefault="00DF184E" w:rsidP="005E13FC">
            <w:pPr>
              <w:pStyle w:val="Paragraphedeliste"/>
              <w:numPr>
                <w:ilvl w:val="0"/>
                <w:numId w:val="21"/>
              </w:numPr>
              <w:jc w:val="both"/>
              <w:rPr>
                <w:lang w:val="fr-FR" w:eastAsia="en-US"/>
              </w:rPr>
            </w:pPr>
            <w:r w:rsidRPr="005E13FC">
              <w:rPr>
                <w:lang w:val="fr-FR" w:eastAsia="en-US"/>
              </w:rPr>
              <w:t>Ressources humaines, techniques et logistiques mobilisables pour l'exécution de la mission (Questions 6 et 7 du document de réponse)</w:t>
            </w:r>
          </w:p>
        </w:tc>
        <w:tc>
          <w:tcPr>
            <w:tcW w:w="3021" w:type="dxa"/>
            <w:vAlign w:val="center"/>
          </w:tcPr>
          <w:p w14:paraId="3EABB575" w14:textId="71650F8B" w:rsidR="00173E62" w:rsidRPr="005E13FC" w:rsidRDefault="00DF184E" w:rsidP="00D66192">
            <w:pPr>
              <w:jc w:val="center"/>
              <w:rPr>
                <w:lang w:val="fr-FR" w:eastAsia="en-US"/>
              </w:rPr>
            </w:pPr>
            <w:r w:rsidRPr="005E13FC">
              <w:rPr>
                <w:lang w:val="fr-FR" w:eastAsia="en-US"/>
              </w:rPr>
              <w:t>80</w:t>
            </w:r>
          </w:p>
        </w:tc>
      </w:tr>
      <w:tr w:rsidR="00DF184E" w:rsidRPr="005E13FC" w14:paraId="4C6626EF" w14:textId="77777777" w:rsidTr="00D66192">
        <w:tc>
          <w:tcPr>
            <w:tcW w:w="3020" w:type="dxa"/>
          </w:tcPr>
          <w:p w14:paraId="5069E8D1" w14:textId="12265CB9" w:rsidR="00DF184E" w:rsidRPr="005E13FC" w:rsidRDefault="00DF184E" w:rsidP="005E13FC">
            <w:pPr>
              <w:jc w:val="both"/>
              <w:rPr>
                <w:lang w:val="fr-FR" w:eastAsia="en-US"/>
              </w:rPr>
            </w:pPr>
            <w:r w:rsidRPr="005E13FC">
              <w:rPr>
                <w:lang w:val="fr-FR" w:eastAsia="en-US"/>
              </w:rPr>
              <w:t>Conformité aux politiques de Malaria Consortium</w:t>
            </w:r>
          </w:p>
        </w:tc>
        <w:tc>
          <w:tcPr>
            <w:tcW w:w="3021" w:type="dxa"/>
          </w:tcPr>
          <w:p w14:paraId="0A157198" w14:textId="3D77E60D" w:rsidR="00DF184E" w:rsidRPr="005E13FC" w:rsidRDefault="009C39EF" w:rsidP="005E13FC">
            <w:pPr>
              <w:jc w:val="both"/>
              <w:rPr>
                <w:lang w:val="fr-FR" w:eastAsia="en-US"/>
              </w:rPr>
            </w:pPr>
            <w:r w:rsidRPr="005E13FC">
              <w:rPr>
                <w:lang w:val="fr-FR" w:eastAsia="en-US"/>
              </w:rPr>
              <w:t>Signature et respect des exigences de conformité de Malaria Consortium (Section 5 du document de réponse)</w:t>
            </w:r>
          </w:p>
        </w:tc>
        <w:tc>
          <w:tcPr>
            <w:tcW w:w="3021" w:type="dxa"/>
            <w:vAlign w:val="center"/>
          </w:tcPr>
          <w:p w14:paraId="73B39B9F" w14:textId="322B973C" w:rsidR="00DF184E" w:rsidRPr="005E13FC" w:rsidRDefault="009C39EF" w:rsidP="00D66192">
            <w:pPr>
              <w:jc w:val="center"/>
              <w:rPr>
                <w:lang w:val="fr-FR" w:eastAsia="en-US"/>
              </w:rPr>
            </w:pPr>
            <w:r w:rsidRPr="005E13FC">
              <w:rPr>
                <w:lang w:val="fr-FR" w:eastAsia="en-US"/>
              </w:rPr>
              <w:t>Critère éliminatoire</w:t>
            </w:r>
          </w:p>
        </w:tc>
      </w:tr>
      <w:tr w:rsidR="00173E62" w:rsidRPr="005E13FC" w14:paraId="7C8E2BE6" w14:textId="77777777" w:rsidTr="00D66192">
        <w:tc>
          <w:tcPr>
            <w:tcW w:w="3020" w:type="dxa"/>
          </w:tcPr>
          <w:p w14:paraId="79CEB368" w14:textId="3A5667C7" w:rsidR="00173E62" w:rsidRPr="005E13FC" w:rsidRDefault="00A70852" w:rsidP="005E13FC">
            <w:pPr>
              <w:jc w:val="both"/>
              <w:rPr>
                <w:lang w:val="fr-FR" w:eastAsia="en-US"/>
              </w:rPr>
            </w:pPr>
            <w:r w:rsidRPr="005E13FC">
              <w:rPr>
                <w:lang w:val="fr-FR" w:eastAsia="en-US"/>
              </w:rPr>
              <w:t>Total offre technique</w:t>
            </w:r>
          </w:p>
        </w:tc>
        <w:tc>
          <w:tcPr>
            <w:tcW w:w="3021" w:type="dxa"/>
          </w:tcPr>
          <w:p w14:paraId="09C5A59B" w14:textId="1FD80B85" w:rsidR="00173E62" w:rsidRPr="005E13FC" w:rsidRDefault="00A70852" w:rsidP="005E13FC">
            <w:pPr>
              <w:jc w:val="both"/>
              <w:rPr>
                <w:lang w:val="fr-FR" w:eastAsia="en-US"/>
              </w:rPr>
            </w:pPr>
            <w:r w:rsidRPr="005E13FC">
              <w:rPr>
                <w:lang w:val="fr-FR" w:eastAsia="en-US"/>
              </w:rPr>
              <w:t>-</w:t>
            </w:r>
          </w:p>
        </w:tc>
        <w:tc>
          <w:tcPr>
            <w:tcW w:w="3021" w:type="dxa"/>
            <w:vAlign w:val="center"/>
          </w:tcPr>
          <w:p w14:paraId="7E6ED27E" w14:textId="7149AFD5" w:rsidR="00173E62" w:rsidRPr="005E13FC" w:rsidRDefault="00A70852" w:rsidP="00D66192">
            <w:pPr>
              <w:jc w:val="center"/>
              <w:rPr>
                <w:lang w:val="fr-FR" w:eastAsia="en-US"/>
              </w:rPr>
            </w:pPr>
            <w:r w:rsidRPr="005E13FC">
              <w:rPr>
                <w:lang w:val="fr-FR" w:eastAsia="en-US"/>
              </w:rPr>
              <w:t>100</w:t>
            </w:r>
          </w:p>
        </w:tc>
      </w:tr>
    </w:tbl>
    <w:p w14:paraId="0E97D4FC" w14:textId="77777777" w:rsidR="00A70852" w:rsidRDefault="00A70852" w:rsidP="005E13FC">
      <w:pPr>
        <w:jc w:val="both"/>
        <w:rPr>
          <w:lang w:val="fr-FR" w:eastAsia="en-US"/>
        </w:rPr>
      </w:pPr>
    </w:p>
    <w:p w14:paraId="03B3EB6E" w14:textId="77777777" w:rsidR="00B31E7A" w:rsidRDefault="00B31E7A" w:rsidP="005E13FC">
      <w:pPr>
        <w:jc w:val="both"/>
        <w:rPr>
          <w:lang w:val="fr-FR" w:eastAsia="en-US"/>
        </w:rPr>
      </w:pPr>
    </w:p>
    <w:p w14:paraId="59D642FB" w14:textId="77777777" w:rsidR="00B31E7A" w:rsidRDefault="00B31E7A" w:rsidP="005E13FC">
      <w:pPr>
        <w:jc w:val="both"/>
        <w:rPr>
          <w:lang w:val="fr-FR" w:eastAsia="en-US"/>
        </w:rPr>
      </w:pPr>
    </w:p>
    <w:p w14:paraId="72A16696" w14:textId="77777777" w:rsidR="00B31E7A" w:rsidRPr="005E13FC" w:rsidRDefault="00B31E7A" w:rsidP="005E13FC">
      <w:pPr>
        <w:jc w:val="both"/>
        <w:rPr>
          <w:lang w:val="fr-FR" w:eastAsia="en-US"/>
        </w:rPr>
      </w:pPr>
    </w:p>
    <w:p w14:paraId="633EC2B2" w14:textId="36E312CF" w:rsidR="00C942AD" w:rsidRPr="005E13FC" w:rsidRDefault="00C942AD" w:rsidP="005E13FC">
      <w:pPr>
        <w:pStyle w:val="Paragraphedeliste"/>
        <w:numPr>
          <w:ilvl w:val="0"/>
          <w:numId w:val="20"/>
        </w:numPr>
        <w:jc w:val="both"/>
        <w:rPr>
          <w:lang w:val="fr-FR" w:eastAsia="en-US"/>
        </w:rPr>
      </w:pPr>
      <w:r w:rsidRPr="005E13FC">
        <w:rPr>
          <w:lang w:val="fr-FR" w:eastAsia="en-US"/>
        </w:rPr>
        <w:lastRenderedPageBreak/>
        <w:t>Evaluation financière</w:t>
      </w:r>
    </w:p>
    <w:p w14:paraId="161D8015" w14:textId="7FE2CA34" w:rsidR="000B7590" w:rsidRPr="005E13FC" w:rsidRDefault="002A2D45" w:rsidP="005E13FC">
      <w:pPr>
        <w:jc w:val="both"/>
        <w:rPr>
          <w:lang w:val="fr-FR"/>
        </w:rPr>
      </w:pPr>
      <w:r w:rsidRPr="005E13FC">
        <w:rPr>
          <w:lang w:val="fr-FR"/>
        </w:rPr>
        <w:t xml:space="preserve">L’offre financière portera </w:t>
      </w:r>
      <w:r w:rsidR="006A7444" w:rsidRPr="005E13FC">
        <w:rPr>
          <w:lang w:val="fr-FR"/>
        </w:rPr>
        <w:t>essentiellement</w:t>
      </w:r>
      <w:r w:rsidR="006C7579" w:rsidRPr="005E13FC">
        <w:rPr>
          <w:lang w:val="fr-FR"/>
        </w:rPr>
        <w:t xml:space="preserve"> sur la cohérence du budget proposé et présentation claire des couts, incluant un aperçu de la méthodologie de mise à disposition des ressources </w:t>
      </w:r>
      <w:r w:rsidR="006E3133" w:rsidRPr="005E13FC">
        <w:rPr>
          <w:lang w:val="fr-FR"/>
        </w:rPr>
        <w:t>et intrants dans les délais prévus. Elle comptera pour 100 points</w:t>
      </w:r>
      <w:r w:rsidR="007531B4" w:rsidRPr="005E13FC">
        <w:rPr>
          <w:lang w:val="fr-FR"/>
        </w:rPr>
        <w:t>.</w:t>
      </w:r>
    </w:p>
    <w:p w14:paraId="72A602A9" w14:textId="60381FEB" w:rsidR="007531B4" w:rsidRPr="005E13FC" w:rsidRDefault="006A7444" w:rsidP="005E13FC">
      <w:pPr>
        <w:jc w:val="both"/>
        <w:rPr>
          <w:lang w:val="fr-FR"/>
        </w:rPr>
      </w:pPr>
      <w:r w:rsidRPr="005E13FC">
        <w:rPr>
          <w:lang w:val="fr-FR"/>
        </w:rPr>
        <w:t>NB :</w:t>
      </w:r>
      <w:r w:rsidR="00B632E8" w:rsidRPr="005E13FC">
        <w:rPr>
          <w:lang w:val="fr-FR"/>
        </w:rPr>
        <w:t xml:space="preserve"> Toute information fournie dans le document de réponse devra être accompagné des pièces ou preuves documentaires appropriées</w:t>
      </w:r>
      <w:r w:rsidRPr="005E13FC">
        <w:rPr>
          <w:lang w:val="fr-FR"/>
        </w:rPr>
        <w:t xml:space="preserve"> sous peine de ne pas être prise en compte lors de l’évaluation.</w:t>
      </w:r>
    </w:p>
    <w:p w14:paraId="433FB911" w14:textId="79595A3A" w:rsidR="008400D0" w:rsidRPr="005E13FC" w:rsidRDefault="008400D0" w:rsidP="005E13FC">
      <w:pPr>
        <w:pStyle w:val="Titre1"/>
        <w:jc w:val="both"/>
        <w:rPr>
          <w:lang w:val="fr-FR"/>
        </w:rPr>
      </w:pPr>
      <w:r w:rsidRPr="005E13FC">
        <w:rPr>
          <w:lang w:val="fr-FR"/>
        </w:rPr>
        <w:t>Soumission</w:t>
      </w:r>
    </w:p>
    <w:p w14:paraId="25005F2E" w14:textId="270D48D9" w:rsidR="00CD402E" w:rsidRPr="005E13FC" w:rsidRDefault="00CD402E" w:rsidP="005E13FC">
      <w:pPr>
        <w:jc w:val="both"/>
        <w:rPr>
          <w:lang w:val="fr-FR" w:eastAsia="en-US"/>
        </w:rPr>
      </w:pPr>
      <w:r w:rsidRPr="005E13FC">
        <w:rPr>
          <w:lang w:val="fr-FR" w:eastAsia="en-US"/>
        </w:rPr>
        <w:t xml:space="preserve">Les offres doivent être envoyées par voie électronique et physique en un original et deux copies comprenant l’offre technique et financière à </w:t>
      </w:r>
      <w:hyperlink r:id="rId9" w:history="1">
        <w:r w:rsidR="001E155C" w:rsidRPr="005E13FC">
          <w:rPr>
            <w:rStyle w:val="Lienhypertexte"/>
            <w:lang w:val="fr-FR" w:eastAsia="en-US"/>
          </w:rPr>
          <w:t>tenders@malariaconsortium.org</w:t>
        </w:r>
      </w:hyperlink>
      <w:r w:rsidR="001E155C" w:rsidRPr="005E13FC">
        <w:rPr>
          <w:lang w:val="fr-FR" w:eastAsia="en-US"/>
        </w:rPr>
        <w:t xml:space="preserve"> </w:t>
      </w:r>
      <w:r w:rsidRPr="005E13FC">
        <w:rPr>
          <w:lang w:val="fr-FR" w:eastAsia="en-US"/>
        </w:rPr>
        <w:t xml:space="preserve"> et inclure dans l’objet du mail </w:t>
      </w:r>
      <w:r w:rsidR="001E155C" w:rsidRPr="005E13FC">
        <w:rPr>
          <w:lang w:val="fr-FR" w:eastAsia="en-US"/>
        </w:rPr>
        <w:t xml:space="preserve">la mention </w:t>
      </w:r>
      <w:r w:rsidRPr="005E13FC">
        <w:rPr>
          <w:rStyle w:val="Accentuationintense"/>
          <w:b/>
          <w:bCs/>
          <w:lang w:val="fr-FR" w:eastAsia="en-US"/>
        </w:rPr>
        <w:t>DAO-2026-007/MC/BF « Enquête de couverture »</w:t>
      </w:r>
      <w:r w:rsidR="001E155C" w:rsidRPr="005E13FC">
        <w:rPr>
          <w:rStyle w:val="Accentuationintense"/>
          <w:b/>
          <w:bCs/>
          <w:lang w:val="fr-FR" w:eastAsia="en-US"/>
        </w:rPr>
        <w:t>.</w:t>
      </w:r>
    </w:p>
    <w:p w14:paraId="1A501EA3" w14:textId="1B10DEF2" w:rsidR="00CD402E" w:rsidRPr="005E13FC" w:rsidRDefault="00CD402E" w:rsidP="005E13FC">
      <w:pPr>
        <w:jc w:val="both"/>
        <w:rPr>
          <w:lang w:val="fr-FR" w:eastAsia="en-US"/>
        </w:rPr>
      </w:pPr>
      <w:r w:rsidRPr="005E13FC">
        <w:rPr>
          <w:lang w:val="fr-FR" w:eastAsia="en-US"/>
        </w:rPr>
        <w:t>Les dossiers physiques devront parvenir ou être remises au Siège de Malaria Consortium à 24, Rue 30.81 Arrondissement 5, 1er au plus tard le 2</w:t>
      </w:r>
      <w:r w:rsidR="003B2171">
        <w:rPr>
          <w:lang w:val="fr-FR" w:eastAsia="en-US"/>
        </w:rPr>
        <w:t>8</w:t>
      </w:r>
      <w:r w:rsidRPr="005E13FC">
        <w:rPr>
          <w:lang w:val="fr-FR" w:eastAsia="en-US"/>
        </w:rPr>
        <w:t xml:space="preserve"> </w:t>
      </w:r>
      <w:r w:rsidR="00A022E3" w:rsidRPr="005E13FC">
        <w:rPr>
          <w:lang w:val="fr-FR" w:eastAsia="en-US"/>
        </w:rPr>
        <w:t>septembre</w:t>
      </w:r>
      <w:r w:rsidRPr="005E13FC">
        <w:rPr>
          <w:lang w:val="fr-FR" w:eastAsia="en-US"/>
        </w:rPr>
        <w:t xml:space="preserve"> 2026 à 15 heures 00 minute, heure locale de Ouagadougou.  </w:t>
      </w:r>
    </w:p>
    <w:p w14:paraId="0EB40C2A" w14:textId="5F56BFE6" w:rsidR="00CD402E" w:rsidRPr="005E13FC" w:rsidRDefault="00CD402E" w:rsidP="005E13FC">
      <w:pPr>
        <w:jc w:val="both"/>
        <w:rPr>
          <w:lang w:val="fr-FR" w:eastAsia="en-US"/>
        </w:rPr>
      </w:pPr>
      <w:r w:rsidRPr="005E13FC">
        <w:rPr>
          <w:lang w:val="fr-FR" w:eastAsia="en-US"/>
        </w:rPr>
        <w:t>L’ouverture des plis sera faite le 2</w:t>
      </w:r>
      <w:r w:rsidR="00881220">
        <w:rPr>
          <w:lang w:val="fr-FR" w:eastAsia="en-US"/>
        </w:rPr>
        <w:t>9</w:t>
      </w:r>
      <w:r w:rsidRPr="005E13FC">
        <w:rPr>
          <w:lang w:val="fr-FR" w:eastAsia="en-US"/>
        </w:rPr>
        <w:t xml:space="preserve"> </w:t>
      </w:r>
      <w:r w:rsidR="00A022E3" w:rsidRPr="005E13FC">
        <w:rPr>
          <w:lang w:val="fr-FR" w:eastAsia="en-US"/>
        </w:rPr>
        <w:t>septembre</w:t>
      </w:r>
      <w:r w:rsidRPr="005E13FC">
        <w:rPr>
          <w:lang w:val="fr-FR" w:eastAsia="en-US"/>
        </w:rPr>
        <w:t xml:space="preserve"> 2026 à 15H00, heure locale de Ouagadougou en présence des soumissionnaires qui souhaitent y assister.</w:t>
      </w:r>
    </w:p>
    <w:p w14:paraId="2C435C89" w14:textId="2CA967AA" w:rsidR="00CD402E" w:rsidRPr="005E13FC" w:rsidRDefault="00CD402E" w:rsidP="005E13FC">
      <w:pPr>
        <w:jc w:val="both"/>
        <w:rPr>
          <w:lang w:val="fr-FR" w:eastAsia="en-US"/>
        </w:rPr>
      </w:pPr>
      <w:r w:rsidRPr="005E13FC">
        <w:rPr>
          <w:lang w:val="fr-FR" w:eastAsia="en-US"/>
        </w:rPr>
        <w:t xml:space="preserve">En cas d’envoi par la poste ou autre mode de courrier, Malaria Consortium Burkina ne peut être </w:t>
      </w:r>
      <w:r w:rsidR="008426BB" w:rsidRPr="005E13FC">
        <w:rPr>
          <w:lang w:val="fr-FR" w:eastAsia="en-US"/>
        </w:rPr>
        <w:t xml:space="preserve">tenu </w:t>
      </w:r>
      <w:r w:rsidRPr="005E13FC">
        <w:rPr>
          <w:lang w:val="fr-FR" w:eastAsia="en-US"/>
        </w:rPr>
        <w:t xml:space="preserve">responsable de la non-réception de l’offre transmise par le soumissionnaire. </w:t>
      </w:r>
    </w:p>
    <w:p w14:paraId="2F41ACDE" w14:textId="32D5D7D6" w:rsidR="00CD402E" w:rsidRPr="005E13FC" w:rsidRDefault="00CD402E" w:rsidP="005E13FC">
      <w:pPr>
        <w:jc w:val="both"/>
        <w:rPr>
          <w:lang w:val="fr-FR" w:eastAsia="en-US"/>
        </w:rPr>
      </w:pPr>
      <w:r w:rsidRPr="005E13FC">
        <w:rPr>
          <w:lang w:val="fr-FR" w:eastAsia="en-US"/>
        </w:rPr>
        <w:t xml:space="preserve">Le soumissionnaire reste engagé par son offre jusqu’à six (06) mois à compter de la date limite de dépôt des plis. </w:t>
      </w:r>
    </w:p>
    <w:p w14:paraId="059183DD" w14:textId="57987811" w:rsidR="00CD402E" w:rsidRPr="005E13FC" w:rsidRDefault="00CD402E" w:rsidP="005E13FC">
      <w:pPr>
        <w:jc w:val="both"/>
        <w:rPr>
          <w:lang w:val="fr-FR" w:eastAsia="en-US"/>
        </w:rPr>
      </w:pPr>
      <w:r w:rsidRPr="005E13FC">
        <w:rPr>
          <w:lang w:val="fr-FR" w:eastAsia="en-US"/>
        </w:rPr>
        <w:t>Malaria Consortium se réserve le droit d'apporter toutes modifications au présent Appel d'Offres ou de ne donner aucune suite à tout ou partie dudit Appel d'Offres.</w:t>
      </w:r>
    </w:p>
    <w:p w14:paraId="0FDDDA7C" w14:textId="354CAC43" w:rsidR="008400D0" w:rsidRDefault="00CD402E" w:rsidP="005E13FC">
      <w:pPr>
        <w:jc w:val="both"/>
        <w:rPr>
          <w:rStyle w:val="Accentuationintense"/>
          <w:b/>
          <w:bCs/>
          <w:lang w:val="fr-FR" w:eastAsia="en-US"/>
        </w:rPr>
      </w:pPr>
      <w:r w:rsidRPr="005E13FC">
        <w:rPr>
          <w:lang w:val="fr-FR" w:eastAsia="en-US"/>
        </w:rPr>
        <w:t xml:space="preserve">Les renseignements sur le présent Avis d’Appel d’Offres peuvent être obtenus par écrit à l’adresse </w:t>
      </w:r>
      <w:proofErr w:type="gramStart"/>
      <w:r w:rsidRPr="005E13FC">
        <w:rPr>
          <w:lang w:val="fr-FR" w:eastAsia="en-US"/>
        </w:rPr>
        <w:t>e-mail</w:t>
      </w:r>
      <w:proofErr w:type="gramEnd"/>
      <w:r w:rsidRPr="005E13FC">
        <w:rPr>
          <w:lang w:val="fr-FR" w:eastAsia="en-US"/>
        </w:rPr>
        <w:t xml:space="preserve"> : </w:t>
      </w:r>
      <w:hyperlink r:id="rId10" w:history="1">
        <w:r w:rsidR="0058748B" w:rsidRPr="005E13FC">
          <w:rPr>
            <w:rStyle w:val="Lienhypertexte"/>
            <w:lang w:val="fr-FR" w:eastAsia="en-US"/>
          </w:rPr>
          <w:t>tenders@malariaconsortium.org</w:t>
        </w:r>
      </w:hyperlink>
      <w:r w:rsidR="0058748B" w:rsidRPr="005E13FC">
        <w:rPr>
          <w:lang w:val="fr-FR" w:eastAsia="en-US"/>
        </w:rPr>
        <w:t xml:space="preserve"> .</w:t>
      </w:r>
      <w:r w:rsidRPr="005E13FC">
        <w:rPr>
          <w:lang w:val="fr-FR" w:eastAsia="en-US"/>
        </w:rPr>
        <w:t xml:space="preserve"> L’objet </w:t>
      </w:r>
      <w:proofErr w:type="gramStart"/>
      <w:r w:rsidRPr="005E13FC">
        <w:rPr>
          <w:lang w:val="fr-FR" w:eastAsia="en-US"/>
        </w:rPr>
        <w:t>de l’email</w:t>
      </w:r>
      <w:proofErr w:type="gramEnd"/>
      <w:r w:rsidRPr="005E13FC">
        <w:rPr>
          <w:lang w:val="fr-FR" w:eastAsia="en-US"/>
        </w:rPr>
        <w:t xml:space="preserve"> doit être intitulé selon le numéro de lot comme suit : </w:t>
      </w:r>
      <w:r w:rsidR="0058748B" w:rsidRPr="005E13FC">
        <w:rPr>
          <w:rStyle w:val="Accentuationintense"/>
          <w:b/>
          <w:bCs/>
          <w:lang w:val="fr-FR" w:eastAsia="en-US"/>
        </w:rPr>
        <w:t>DAO-2026-007/MC/BF « Enquête de couverture ».</w:t>
      </w:r>
    </w:p>
    <w:p w14:paraId="7D53703C" w14:textId="77777777" w:rsidR="00B31E7A" w:rsidRDefault="00B31E7A" w:rsidP="005E13FC">
      <w:pPr>
        <w:jc w:val="both"/>
        <w:rPr>
          <w:rStyle w:val="Accentuationintense"/>
          <w:b/>
          <w:bCs/>
          <w:lang w:val="fr-FR" w:eastAsia="en-US"/>
        </w:rPr>
      </w:pPr>
    </w:p>
    <w:p w14:paraId="47DC91B5" w14:textId="77777777" w:rsidR="00B31E7A" w:rsidRDefault="00B31E7A" w:rsidP="0044366C">
      <w:pPr>
        <w:jc w:val="right"/>
        <w:rPr>
          <w:lang w:val="fr-FR" w:eastAsia="en-US"/>
        </w:rPr>
      </w:pPr>
    </w:p>
    <w:p w14:paraId="3CD23396" w14:textId="77777777" w:rsidR="00466BBF" w:rsidRDefault="00466BBF" w:rsidP="0044366C">
      <w:pPr>
        <w:jc w:val="right"/>
        <w:rPr>
          <w:lang w:val="fr-FR" w:eastAsia="en-US"/>
        </w:rPr>
      </w:pPr>
    </w:p>
    <w:p w14:paraId="71C13FFF" w14:textId="77777777" w:rsidR="00466BBF" w:rsidRDefault="00466BBF" w:rsidP="0044366C">
      <w:pPr>
        <w:jc w:val="right"/>
        <w:rPr>
          <w:lang w:val="fr-FR" w:eastAsia="en-US"/>
        </w:rPr>
      </w:pPr>
    </w:p>
    <w:p w14:paraId="3415122C" w14:textId="77777777" w:rsidR="00466BBF" w:rsidRDefault="00466BBF" w:rsidP="0044366C">
      <w:pPr>
        <w:jc w:val="right"/>
        <w:rPr>
          <w:lang w:val="fr-FR" w:eastAsia="en-US"/>
        </w:rPr>
      </w:pPr>
    </w:p>
    <w:p w14:paraId="322B7E1B" w14:textId="0FD111E6" w:rsidR="00466BBF" w:rsidRPr="00466BBF" w:rsidRDefault="00466BBF" w:rsidP="0044366C">
      <w:pPr>
        <w:jc w:val="right"/>
        <w:rPr>
          <w:b/>
          <w:bCs/>
          <w:sz w:val="28"/>
          <w:szCs w:val="28"/>
          <w:lang w:val="fr-FR" w:eastAsia="en-US"/>
        </w:rPr>
      </w:pPr>
      <w:r w:rsidRPr="00466BBF">
        <w:rPr>
          <w:b/>
          <w:bCs/>
          <w:sz w:val="28"/>
          <w:szCs w:val="28"/>
          <w:lang w:val="fr-FR" w:eastAsia="en-US"/>
        </w:rPr>
        <w:t>Dr Pierre KAYENDE</w:t>
      </w:r>
    </w:p>
    <w:p w14:paraId="59C0080E" w14:textId="77777777" w:rsidR="00B31E7A" w:rsidRDefault="00B31E7A" w:rsidP="0044366C">
      <w:pPr>
        <w:jc w:val="right"/>
        <w:rPr>
          <w:lang w:val="fr-FR" w:eastAsia="en-US"/>
        </w:rPr>
      </w:pPr>
    </w:p>
    <w:p w14:paraId="00A413BD" w14:textId="77777777" w:rsidR="0044366C" w:rsidRDefault="0044366C" w:rsidP="00466BBF">
      <w:pPr>
        <w:rPr>
          <w:lang w:val="fr-FR" w:eastAsia="en-US"/>
        </w:rPr>
      </w:pPr>
    </w:p>
    <w:sectPr w:rsidR="0044366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4D036" w14:textId="77777777" w:rsidR="00795A65" w:rsidRDefault="00795A65" w:rsidP="0044366C">
      <w:pPr>
        <w:spacing w:after="0" w:line="240" w:lineRule="auto"/>
      </w:pPr>
      <w:r>
        <w:separator/>
      </w:r>
    </w:p>
  </w:endnote>
  <w:endnote w:type="continuationSeparator" w:id="0">
    <w:p w14:paraId="294182CA" w14:textId="77777777" w:rsidR="00795A65" w:rsidRDefault="00795A65" w:rsidP="00443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424939"/>
      <w:docPartObj>
        <w:docPartGallery w:val="Page Numbers (Bottom of Page)"/>
        <w:docPartUnique/>
      </w:docPartObj>
    </w:sdtPr>
    <w:sdtEndPr/>
    <w:sdtContent>
      <w:p w14:paraId="27290A20" w14:textId="10589524" w:rsidR="0044366C" w:rsidRDefault="0044366C">
        <w:pPr>
          <w:pStyle w:val="Pieddepage"/>
          <w:jc w:val="right"/>
        </w:pPr>
        <w:r>
          <w:fldChar w:fldCharType="begin"/>
        </w:r>
        <w:r>
          <w:instrText>PAGE   \* MERGEFORMAT</w:instrText>
        </w:r>
        <w:r>
          <w:fldChar w:fldCharType="separate"/>
        </w:r>
        <w:r>
          <w:rPr>
            <w:lang w:val="fr-FR"/>
          </w:rPr>
          <w:t>2</w:t>
        </w:r>
        <w:r>
          <w:fldChar w:fldCharType="end"/>
        </w:r>
      </w:p>
    </w:sdtContent>
  </w:sdt>
  <w:p w14:paraId="46C3D539" w14:textId="77777777" w:rsidR="0044366C" w:rsidRDefault="004436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0F37" w14:textId="77777777" w:rsidR="00795A65" w:rsidRDefault="00795A65" w:rsidP="0044366C">
      <w:pPr>
        <w:spacing w:after="0" w:line="240" w:lineRule="auto"/>
      </w:pPr>
      <w:r>
        <w:separator/>
      </w:r>
    </w:p>
  </w:footnote>
  <w:footnote w:type="continuationSeparator" w:id="0">
    <w:p w14:paraId="00FDF5BD" w14:textId="77777777" w:rsidR="00795A65" w:rsidRDefault="00795A65" w:rsidP="00443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36C15" w14:textId="77777777" w:rsidR="00B74DD5" w:rsidRDefault="00B74DD5" w:rsidP="00B74DD5">
    <w:pPr>
      <w:pStyle w:val="En-tte"/>
      <w:rPr>
        <w:noProof/>
        <w:sz w:val="28"/>
        <w:szCs w:val="28"/>
      </w:rPr>
    </w:pPr>
    <w:r w:rsidRPr="00526D9C">
      <w:rPr>
        <w:i/>
        <w:noProof/>
        <w:color w:val="404040"/>
        <w:lang w:val="en-US"/>
      </w:rPr>
      <w:drawing>
        <wp:inline distT="0" distB="0" distL="0" distR="0" wp14:anchorId="0E66DBD3" wp14:editId="1B0BE8C6">
          <wp:extent cx="1524000" cy="723900"/>
          <wp:effectExtent l="0" t="0" r="0" b="0"/>
          <wp:docPr id="1032205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723900"/>
                  </a:xfrm>
                  <a:prstGeom prst="rect">
                    <a:avLst/>
                  </a:prstGeom>
                  <a:noFill/>
                  <a:ln>
                    <a:noFill/>
                  </a:ln>
                </pic:spPr>
              </pic:pic>
            </a:graphicData>
          </a:graphic>
        </wp:inline>
      </w:drawing>
    </w:r>
    <w:r>
      <w:t xml:space="preserve">   </w:t>
    </w:r>
    <w:r w:rsidRPr="007C64A6">
      <w:rPr>
        <w:noProof/>
        <w:sz w:val="36"/>
        <w:szCs w:val="36"/>
      </w:rPr>
      <w:drawing>
        <wp:inline distT="0" distB="0" distL="0" distR="0" wp14:anchorId="32EDB378" wp14:editId="640ADDA1">
          <wp:extent cx="3297230" cy="684000"/>
          <wp:effectExtent l="0" t="0" r="0" b="1905"/>
          <wp:docPr id="8771120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7230" cy="684000"/>
                  </a:xfrm>
                  <a:prstGeom prst="rect">
                    <a:avLst/>
                  </a:prstGeom>
                  <a:noFill/>
                </pic:spPr>
              </pic:pic>
            </a:graphicData>
          </a:graphic>
        </wp:inline>
      </w:drawing>
    </w:r>
  </w:p>
  <w:p w14:paraId="33062930" w14:textId="77777777" w:rsidR="00B74DD5" w:rsidRDefault="00B74DD5" w:rsidP="00B74DD5">
    <w:pPr>
      <w:pStyle w:val="En-tte"/>
    </w:pPr>
    <w:r>
      <w:tab/>
    </w:r>
    <w:r>
      <w:tab/>
    </w:r>
  </w:p>
  <w:p w14:paraId="5F893979" w14:textId="77777777" w:rsidR="008C6C38" w:rsidRDefault="008C6C3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8E4"/>
    <w:multiLevelType w:val="hybridMultilevel"/>
    <w:tmpl w:val="8CEA8CD0"/>
    <w:lvl w:ilvl="0" w:tplc="D5E093E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B55915"/>
    <w:multiLevelType w:val="hybridMultilevel"/>
    <w:tmpl w:val="AD18231E"/>
    <w:lvl w:ilvl="0" w:tplc="4A585FAC">
      <w:start w:val="50"/>
      <w:numFmt w:val="bullet"/>
      <w:lvlText w:val="•"/>
      <w:lvlJc w:val="left"/>
      <w:pPr>
        <w:ind w:left="1080" w:hanging="72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414E33"/>
    <w:multiLevelType w:val="hybridMultilevel"/>
    <w:tmpl w:val="2F1CC700"/>
    <w:lvl w:ilvl="0" w:tplc="0D62D076">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0C1BE9"/>
    <w:multiLevelType w:val="hybridMultilevel"/>
    <w:tmpl w:val="DF66E87E"/>
    <w:lvl w:ilvl="0" w:tplc="C9BE20FA">
      <w:start w:val="1"/>
      <w:numFmt w:val="decimal"/>
      <w:lvlText w:val="%1."/>
      <w:lvlJc w:val="left"/>
      <w:pPr>
        <w:ind w:left="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82C4245E">
      <w:start w:val="1"/>
      <w:numFmt w:val="lowerLetter"/>
      <w:lvlText w:val="%2"/>
      <w:lvlJc w:val="left"/>
      <w:pPr>
        <w:ind w:left="108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2" w:tplc="9AE60B8E">
      <w:start w:val="1"/>
      <w:numFmt w:val="lowerRoman"/>
      <w:lvlText w:val="%3"/>
      <w:lvlJc w:val="left"/>
      <w:pPr>
        <w:ind w:left="180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3" w:tplc="A418D646">
      <w:start w:val="1"/>
      <w:numFmt w:val="decimal"/>
      <w:lvlText w:val="%4"/>
      <w:lvlJc w:val="left"/>
      <w:pPr>
        <w:ind w:left="252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4" w:tplc="CF241AC2">
      <w:start w:val="1"/>
      <w:numFmt w:val="lowerLetter"/>
      <w:lvlText w:val="%5"/>
      <w:lvlJc w:val="left"/>
      <w:pPr>
        <w:ind w:left="324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5" w:tplc="FECA511E">
      <w:start w:val="1"/>
      <w:numFmt w:val="lowerRoman"/>
      <w:lvlText w:val="%6"/>
      <w:lvlJc w:val="left"/>
      <w:pPr>
        <w:ind w:left="396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6" w:tplc="3C36348A">
      <w:start w:val="1"/>
      <w:numFmt w:val="decimal"/>
      <w:lvlText w:val="%7"/>
      <w:lvlJc w:val="left"/>
      <w:pPr>
        <w:ind w:left="468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7" w:tplc="F20E95A2">
      <w:start w:val="1"/>
      <w:numFmt w:val="lowerLetter"/>
      <w:lvlText w:val="%8"/>
      <w:lvlJc w:val="left"/>
      <w:pPr>
        <w:ind w:left="540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8" w:tplc="002CE71E">
      <w:start w:val="1"/>
      <w:numFmt w:val="lowerRoman"/>
      <w:lvlText w:val="%9"/>
      <w:lvlJc w:val="left"/>
      <w:pPr>
        <w:ind w:left="612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CF6525"/>
    <w:multiLevelType w:val="hybridMultilevel"/>
    <w:tmpl w:val="FFD0761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94F33BA"/>
    <w:multiLevelType w:val="hybridMultilevel"/>
    <w:tmpl w:val="4CE43446"/>
    <w:lvl w:ilvl="0" w:tplc="2000000B">
      <w:start w:val="1"/>
      <w:numFmt w:val="bullet"/>
      <w:lvlText w:val=""/>
      <w:lvlJc w:val="left"/>
      <w:pPr>
        <w:ind w:left="736" w:hanging="360"/>
      </w:pPr>
      <w:rPr>
        <w:rFonts w:ascii="Wingdings" w:hAnsi="Wingdings" w:hint="default"/>
      </w:rPr>
    </w:lvl>
    <w:lvl w:ilvl="1" w:tplc="FFFFFFFF" w:tentative="1">
      <w:start w:val="1"/>
      <w:numFmt w:val="bullet"/>
      <w:lvlText w:val="o"/>
      <w:lvlJc w:val="left"/>
      <w:pPr>
        <w:ind w:left="1456" w:hanging="360"/>
      </w:pPr>
      <w:rPr>
        <w:rFonts w:ascii="Courier New" w:hAnsi="Courier New" w:cs="Courier New" w:hint="default"/>
      </w:rPr>
    </w:lvl>
    <w:lvl w:ilvl="2" w:tplc="FFFFFFFF" w:tentative="1">
      <w:start w:val="1"/>
      <w:numFmt w:val="bullet"/>
      <w:lvlText w:val=""/>
      <w:lvlJc w:val="left"/>
      <w:pPr>
        <w:ind w:left="2176" w:hanging="360"/>
      </w:pPr>
      <w:rPr>
        <w:rFonts w:ascii="Wingdings" w:hAnsi="Wingdings" w:hint="default"/>
      </w:rPr>
    </w:lvl>
    <w:lvl w:ilvl="3" w:tplc="FFFFFFFF" w:tentative="1">
      <w:start w:val="1"/>
      <w:numFmt w:val="bullet"/>
      <w:lvlText w:val=""/>
      <w:lvlJc w:val="left"/>
      <w:pPr>
        <w:ind w:left="2896" w:hanging="360"/>
      </w:pPr>
      <w:rPr>
        <w:rFonts w:ascii="Symbol" w:hAnsi="Symbol" w:hint="default"/>
      </w:rPr>
    </w:lvl>
    <w:lvl w:ilvl="4" w:tplc="FFFFFFFF" w:tentative="1">
      <w:start w:val="1"/>
      <w:numFmt w:val="bullet"/>
      <w:lvlText w:val="o"/>
      <w:lvlJc w:val="left"/>
      <w:pPr>
        <w:ind w:left="3616" w:hanging="360"/>
      </w:pPr>
      <w:rPr>
        <w:rFonts w:ascii="Courier New" w:hAnsi="Courier New" w:cs="Courier New" w:hint="default"/>
      </w:rPr>
    </w:lvl>
    <w:lvl w:ilvl="5" w:tplc="FFFFFFFF" w:tentative="1">
      <w:start w:val="1"/>
      <w:numFmt w:val="bullet"/>
      <w:lvlText w:val=""/>
      <w:lvlJc w:val="left"/>
      <w:pPr>
        <w:ind w:left="4336" w:hanging="360"/>
      </w:pPr>
      <w:rPr>
        <w:rFonts w:ascii="Wingdings" w:hAnsi="Wingdings" w:hint="default"/>
      </w:rPr>
    </w:lvl>
    <w:lvl w:ilvl="6" w:tplc="FFFFFFFF" w:tentative="1">
      <w:start w:val="1"/>
      <w:numFmt w:val="bullet"/>
      <w:lvlText w:val=""/>
      <w:lvlJc w:val="left"/>
      <w:pPr>
        <w:ind w:left="5056" w:hanging="360"/>
      </w:pPr>
      <w:rPr>
        <w:rFonts w:ascii="Symbol" w:hAnsi="Symbol" w:hint="default"/>
      </w:rPr>
    </w:lvl>
    <w:lvl w:ilvl="7" w:tplc="FFFFFFFF" w:tentative="1">
      <w:start w:val="1"/>
      <w:numFmt w:val="bullet"/>
      <w:lvlText w:val="o"/>
      <w:lvlJc w:val="left"/>
      <w:pPr>
        <w:ind w:left="5776" w:hanging="360"/>
      </w:pPr>
      <w:rPr>
        <w:rFonts w:ascii="Courier New" w:hAnsi="Courier New" w:cs="Courier New" w:hint="default"/>
      </w:rPr>
    </w:lvl>
    <w:lvl w:ilvl="8" w:tplc="FFFFFFFF" w:tentative="1">
      <w:start w:val="1"/>
      <w:numFmt w:val="bullet"/>
      <w:lvlText w:val=""/>
      <w:lvlJc w:val="left"/>
      <w:pPr>
        <w:ind w:left="6496" w:hanging="360"/>
      </w:pPr>
      <w:rPr>
        <w:rFonts w:ascii="Wingdings" w:hAnsi="Wingdings" w:hint="default"/>
      </w:rPr>
    </w:lvl>
  </w:abstractNum>
  <w:abstractNum w:abstractNumId="6" w15:restartNumberingAfterBreak="0">
    <w:nsid w:val="1DE80304"/>
    <w:multiLevelType w:val="hybridMultilevel"/>
    <w:tmpl w:val="B32871C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13764AB"/>
    <w:multiLevelType w:val="hybridMultilevel"/>
    <w:tmpl w:val="76BA6288"/>
    <w:lvl w:ilvl="0" w:tplc="CA7EB7CC">
      <w:start w:val="1"/>
      <w:numFmt w:val="bullet"/>
      <w:lvlText w:val="-"/>
      <w:lvlJc w:val="left"/>
      <w:pPr>
        <w:ind w:left="736" w:hanging="360"/>
      </w:pPr>
      <w:rPr>
        <w:rFonts w:ascii="Arial" w:eastAsia="Calibri" w:hAnsi="Arial" w:cs="Arial" w:hint="default"/>
      </w:rPr>
    </w:lvl>
    <w:lvl w:ilvl="1" w:tplc="08090003" w:tentative="1">
      <w:start w:val="1"/>
      <w:numFmt w:val="bullet"/>
      <w:lvlText w:val="o"/>
      <w:lvlJc w:val="left"/>
      <w:pPr>
        <w:ind w:left="1456" w:hanging="360"/>
      </w:pPr>
      <w:rPr>
        <w:rFonts w:ascii="Courier New" w:hAnsi="Courier New" w:cs="Courier New" w:hint="default"/>
      </w:rPr>
    </w:lvl>
    <w:lvl w:ilvl="2" w:tplc="08090005" w:tentative="1">
      <w:start w:val="1"/>
      <w:numFmt w:val="bullet"/>
      <w:lvlText w:val=""/>
      <w:lvlJc w:val="left"/>
      <w:pPr>
        <w:ind w:left="2176" w:hanging="360"/>
      </w:pPr>
      <w:rPr>
        <w:rFonts w:ascii="Wingdings" w:hAnsi="Wingdings" w:hint="default"/>
      </w:rPr>
    </w:lvl>
    <w:lvl w:ilvl="3" w:tplc="08090001" w:tentative="1">
      <w:start w:val="1"/>
      <w:numFmt w:val="bullet"/>
      <w:lvlText w:val=""/>
      <w:lvlJc w:val="left"/>
      <w:pPr>
        <w:ind w:left="2896" w:hanging="360"/>
      </w:pPr>
      <w:rPr>
        <w:rFonts w:ascii="Symbol" w:hAnsi="Symbol" w:hint="default"/>
      </w:rPr>
    </w:lvl>
    <w:lvl w:ilvl="4" w:tplc="08090003" w:tentative="1">
      <w:start w:val="1"/>
      <w:numFmt w:val="bullet"/>
      <w:lvlText w:val="o"/>
      <w:lvlJc w:val="left"/>
      <w:pPr>
        <w:ind w:left="3616" w:hanging="360"/>
      </w:pPr>
      <w:rPr>
        <w:rFonts w:ascii="Courier New" w:hAnsi="Courier New" w:cs="Courier New" w:hint="default"/>
      </w:rPr>
    </w:lvl>
    <w:lvl w:ilvl="5" w:tplc="08090005" w:tentative="1">
      <w:start w:val="1"/>
      <w:numFmt w:val="bullet"/>
      <w:lvlText w:val=""/>
      <w:lvlJc w:val="left"/>
      <w:pPr>
        <w:ind w:left="4336" w:hanging="360"/>
      </w:pPr>
      <w:rPr>
        <w:rFonts w:ascii="Wingdings" w:hAnsi="Wingdings" w:hint="default"/>
      </w:rPr>
    </w:lvl>
    <w:lvl w:ilvl="6" w:tplc="08090001" w:tentative="1">
      <w:start w:val="1"/>
      <w:numFmt w:val="bullet"/>
      <w:lvlText w:val=""/>
      <w:lvlJc w:val="left"/>
      <w:pPr>
        <w:ind w:left="5056" w:hanging="360"/>
      </w:pPr>
      <w:rPr>
        <w:rFonts w:ascii="Symbol" w:hAnsi="Symbol" w:hint="default"/>
      </w:rPr>
    </w:lvl>
    <w:lvl w:ilvl="7" w:tplc="08090003" w:tentative="1">
      <w:start w:val="1"/>
      <w:numFmt w:val="bullet"/>
      <w:lvlText w:val="o"/>
      <w:lvlJc w:val="left"/>
      <w:pPr>
        <w:ind w:left="5776" w:hanging="360"/>
      </w:pPr>
      <w:rPr>
        <w:rFonts w:ascii="Courier New" w:hAnsi="Courier New" w:cs="Courier New" w:hint="default"/>
      </w:rPr>
    </w:lvl>
    <w:lvl w:ilvl="8" w:tplc="08090005" w:tentative="1">
      <w:start w:val="1"/>
      <w:numFmt w:val="bullet"/>
      <w:lvlText w:val=""/>
      <w:lvlJc w:val="left"/>
      <w:pPr>
        <w:ind w:left="6496" w:hanging="360"/>
      </w:pPr>
      <w:rPr>
        <w:rFonts w:ascii="Wingdings" w:hAnsi="Wingdings" w:hint="default"/>
      </w:rPr>
    </w:lvl>
  </w:abstractNum>
  <w:abstractNum w:abstractNumId="8" w15:restartNumberingAfterBreak="0">
    <w:nsid w:val="23982789"/>
    <w:multiLevelType w:val="hybridMultilevel"/>
    <w:tmpl w:val="F936397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8237386"/>
    <w:multiLevelType w:val="multilevel"/>
    <w:tmpl w:val="5BAC54D6"/>
    <w:lvl w:ilvl="0">
      <w:start w:val="1"/>
      <w:numFmt w:val="decimal"/>
      <w:pStyle w:val="Titre1"/>
      <w:lvlText w:val="%1."/>
      <w:lvlJc w:val="left"/>
      <w:pPr>
        <w:tabs>
          <w:tab w:val="num" w:pos="2138"/>
        </w:tabs>
        <w:ind w:left="2138"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AF11B08"/>
    <w:multiLevelType w:val="hybridMultilevel"/>
    <w:tmpl w:val="8862A4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CAD343F"/>
    <w:multiLevelType w:val="multilevel"/>
    <w:tmpl w:val="03842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D5C69E7"/>
    <w:multiLevelType w:val="hybridMultilevel"/>
    <w:tmpl w:val="2588435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DD87785"/>
    <w:multiLevelType w:val="hybridMultilevel"/>
    <w:tmpl w:val="06E6FA1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B2C57FD"/>
    <w:multiLevelType w:val="hybridMultilevel"/>
    <w:tmpl w:val="C14E46F2"/>
    <w:lvl w:ilvl="0" w:tplc="20F01ADC">
      <w:start w:val="1"/>
      <w:numFmt w:val="decimal"/>
      <w:lvlText w:val="2.%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F3618B1"/>
    <w:multiLevelType w:val="hybridMultilevel"/>
    <w:tmpl w:val="F0BE2D1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28E5175"/>
    <w:multiLevelType w:val="hybridMultilevel"/>
    <w:tmpl w:val="5EA8A5A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650720E"/>
    <w:multiLevelType w:val="hybridMultilevel"/>
    <w:tmpl w:val="B15CCDBC"/>
    <w:lvl w:ilvl="0" w:tplc="5552B7DA">
      <w:start w:val="1"/>
      <w:numFmt w:val="bullet"/>
      <w:lvlText w:val=""/>
      <w:lvlJc w:val="left"/>
      <w:pPr>
        <w:ind w:left="1080" w:hanging="360"/>
      </w:pPr>
      <w:rPr>
        <w:rFonts w:ascii="Symbol" w:hAnsi="Symbol"/>
      </w:rPr>
    </w:lvl>
    <w:lvl w:ilvl="1" w:tplc="A13C116C">
      <w:start w:val="1"/>
      <w:numFmt w:val="bullet"/>
      <w:lvlText w:val=""/>
      <w:lvlJc w:val="left"/>
      <w:pPr>
        <w:ind w:left="1080" w:hanging="360"/>
      </w:pPr>
      <w:rPr>
        <w:rFonts w:ascii="Symbol" w:hAnsi="Symbol"/>
      </w:rPr>
    </w:lvl>
    <w:lvl w:ilvl="2" w:tplc="9C9A2C7E">
      <w:start w:val="1"/>
      <w:numFmt w:val="bullet"/>
      <w:lvlText w:val=""/>
      <w:lvlJc w:val="left"/>
      <w:pPr>
        <w:ind w:left="1080" w:hanging="360"/>
      </w:pPr>
      <w:rPr>
        <w:rFonts w:ascii="Symbol" w:hAnsi="Symbol"/>
      </w:rPr>
    </w:lvl>
    <w:lvl w:ilvl="3" w:tplc="64D25548">
      <w:start w:val="1"/>
      <w:numFmt w:val="bullet"/>
      <w:lvlText w:val=""/>
      <w:lvlJc w:val="left"/>
      <w:pPr>
        <w:ind w:left="1080" w:hanging="360"/>
      </w:pPr>
      <w:rPr>
        <w:rFonts w:ascii="Symbol" w:hAnsi="Symbol"/>
      </w:rPr>
    </w:lvl>
    <w:lvl w:ilvl="4" w:tplc="348C35DC">
      <w:start w:val="1"/>
      <w:numFmt w:val="bullet"/>
      <w:lvlText w:val=""/>
      <w:lvlJc w:val="left"/>
      <w:pPr>
        <w:ind w:left="1080" w:hanging="360"/>
      </w:pPr>
      <w:rPr>
        <w:rFonts w:ascii="Symbol" w:hAnsi="Symbol"/>
      </w:rPr>
    </w:lvl>
    <w:lvl w:ilvl="5" w:tplc="C8227840">
      <w:start w:val="1"/>
      <w:numFmt w:val="bullet"/>
      <w:lvlText w:val=""/>
      <w:lvlJc w:val="left"/>
      <w:pPr>
        <w:ind w:left="1080" w:hanging="360"/>
      </w:pPr>
      <w:rPr>
        <w:rFonts w:ascii="Symbol" w:hAnsi="Symbol"/>
      </w:rPr>
    </w:lvl>
    <w:lvl w:ilvl="6" w:tplc="A7BC7B5A">
      <w:start w:val="1"/>
      <w:numFmt w:val="bullet"/>
      <w:lvlText w:val=""/>
      <w:lvlJc w:val="left"/>
      <w:pPr>
        <w:ind w:left="1080" w:hanging="360"/>
      </w:pPr>
      <w:rPr>
        <w:rFonts w:ascii="Symbol" w:hAnsi="Symbol"/>
      </w:rPr>
    </w:lvl>
    <w:lvl w:ilvl="7" w:tplc="AD24C1A4">
      <w:start w:val="1"/>
      <w:numFmt w:val="bullet"/>
      <w:lvlText w:val=""/>
      <w:lvlJc w:val="left"/>
      <w:pPr>
        <w:ind w:left="1080" w:hanging="360"/>
      </w:pPr>
      <w:rPr>
        <w:rFonts w:ascii="Symbol" w:hAnsi="Symbol"/>
      </w:rPr>
    </w:lvl>
    <w:lvl w:ilvl="8" w:tplc="6CA8E0C0">
      <w:start w:val="1"/>
      <w:numFmt w:val="bullet"/>
      <w:lvlText w:val=""/>
      <w:lvlJc w:val="left"/>
      <w:pPr>
        <w:ind w:left="1080" w:hanging="360"/>
      </w:pPr>
      <w:rPr>
        <w:rFonts w:ascii="Symbol" w:hAnsi="Symbol"/>
      </w:rPr>
    </w:lvl>
  </w:abstractNum>
  <w:abstractNum w:abstractNumId="18" w15:restartNumberingAfterBreak="0">
    <w:nsid w:val="5DE01835"/>
    <w:multiLevelType w:val="hybridMultilevel"/>
    <w:tmpl w:val="B5CA861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6D260E2"/>
    <w:multiLevelType w:val="hybridMultilevel"/>
    <w:tmpl w:val="3134E094"/>
    <w:lvl w:ilvl="0" w:tplc="8A42AFD8">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B4E60FD"/>
    <w:multiLevelType w:val="hybridMultilevel"/>
    <w:tmpl w:val="ABC65592"/>
    <w:lvl w:ilvl="0" w:tplc="DA6C11F8">
      <w:start w:val="50"/>
      <w:numFmt w:val="bullet"/>
      <w:lvlText w:val="•"/>
      <w:lvlJc w:val="left"/>
      <w:pPr>
        <w:ind w:left="1080" w:hanging="72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95645654">
    <w:abstractNumId w:val="2"/>
  </w:num>
  <w:num w:numId="2" w16cid:durableId="23947299">
    <w:abstractNumId w:val="19"/>
  </w:num>
  <w:num w:numId="3" w16cid:durableId="1343967649">
    <w:abstractNumId w:val="11"/>
  </w:num>
  <w:num w:numId="4" w16cid:durableId="13398868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39842">
    <w:abstractNumId w:val="14"/>
  </w:num>
  <w:num w:numId="6" w16cid:durableId="686104300">
    <w:abstractNumId w:val="3"/>
  </w:num>
  <w:num w:numId="7" w16cid:durableId="773790666">
    <w:abstractNumId w:val="0"/>
  </w:num>
  <w:num w:numId="8" w16cid:durableId="1789854167">
    <w:abstractNumId w:val="9"/>
  </w:num>
  <w:num w:numId="9" w16cid:durableId="433786154">
    <w:abstractNumId w:val="13"/>
  </w:num>
  <w:num w:numId="10" w16cid:durableId="848955676">
    <w:abstractNumId w:val="8"/>
  </w:num>
  <w:num w:numId="11" w16cid:durableId="2054769340">
    <w:abstractNumId w:val="18"/>
  </w:num>
  <w:num w:numId="12" w16cid:durableId="609774270">
    <w:abstractNumId w:val="15"/>
  </w:num>
  <w:num w:numId="13" w16cid:durableId="43214933">
    <w:abstractNumId w:val="7"/>
  </w:num>
  <w:num w:numId="14" w16cid:durableId="917132297">
    <w:abstractNumId w:val="5"/>
  </w:num>
  <w:num w:numId="15" w16cid:durableId="1518154311">
    <w:abstractNumId w:val="6"/>
  </w:num>
  <w:num w:numId="16" w16cid:durableId="191385824">
    <w:abstractNumId w:val="20"/>
  </w:num>
  <w:num w:numId="17" w16cid:durableId="548498633">
    <w:abstractNumId w:val="12"/>
  </w:num>
  <w:num w:numId="18" w16cid:durableId="1451893128">
    <w:abstractNumId w:val="1"/>
  </w:num>
  <w:num w:numId="19" w16cid:durableId="1200703080">
    <w:abstractNumId w:val="16"/>
  </w:num>
  <w:num w:numId="20" w16cid:durableId="1678926420">
    <w:abstractNumId w:val="4"/>
  </w:num>
  <w:num w:numId="21" w16cid:durableId="1376933133">
    <w:abstractNumId w:val="10"/>
  </w:num>
  <w:num w:numId="22" w16cid:durableId="15221624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90"/>
    <w:rsid w:val="000B7590"/>
    <w:rsid w:val="000F2D56"/>
    <w:rsid w:val="00147531"/>
    <w:rsid w:val="001647DC"/>
    <w:rsid w:val="00173E62"/>
    <w:rsid w:val="001E155C"/>
    <w:rsid w:val="00253BD2"/>
    <w:rsid w:val="002818EF"/>
    <w:rsid w:val="002A2D45"/>
    <w:rsid w:val="003A50E7"/>
    <w:rsid w:val="003B1044"/>
    <w:rsid w:val="003B2171"/>
    <w:rsid w:val="003D48C9"/>
    <w:rsid w:val="00403878"/>
    <w:rsid w:val="0044366C"/>
    <w:rsid w:val="00466BBF"/>
    <w:rsid w:val="00496CEA"/>
    <w:rsid w:val="004C063C"/>
    <w:rsid w:val="00581650"/>
    <w:rsid w:val="0058748B"/>
    <w:rsid w:val="005A35BB"/>
    <w:rsid w:val="005E13FC"/>
    <w:rsid w:val="006145C5"/>
    <w:rsid w:val="0066358C"/>
    <w:rsid w:val="0067737C"/>
    <w:rsid w:val="006A7444"/>
    <w:rsid w:val="006C07FA"/>
    <w:rsid w:val="006C7579"/>
    <w:rsid w:val="006E3133"/>
    <w:rsid w:val="007114EA"/>
    <w:rsid w:val="00735011"/>
    <w:rsid w:val="007531B4"/>
    <w:rsid w:val="00795A65"/>
    <w:rsid w:val="007A400D"/>
    <w:rsid w:val="007F1BB3"/>
    <w:rsid w:val="00811537"/>
    <w:rsid w:val="008323EC"/>
    <w:rsid w:val="008400D0"/>
    <w:rsid w:val="008426BB"/>
    <w:rsid w:val="008750E2"/>
    <w:rsid w:val="00881220"/>
    <w:rsid w:val="008C6C38"/>
    <w:rsid w:val="009C39EF"/>
    <w:rsid w:val="009E5792"/>
    <w:rsid w:val="00A022E3"/>
    <w:rsid w:val="00A51E6B"/>
    <w:rsid w:val="00A566FC"/>
    <w:rsid w:val="00A70852"/>
    <w:rsid w:val="00B01354"/>
    <w:rsid w:val="00B14595"/>
    <w:rsid w:val="00B22E34"/>
    <w:rsid w:val="00B31E7A"/>
    <w:rsid w:val="00B403DD"/>
    <w:rsid w:val="00B632E8"/>
    <w:rsid w:val="00B74DD5"/>
    <w:rsid w:val="00BF2829"/>
    <w:rsid w:val="00C942AD"/>
    <w:rsid w:val="00CC1EA9"/>
    <w:rsid w:val="00CC5323"/>
    <w:rsid w:val="00CD402E"/>
    <w:rsid w:val="00CF34A2"/>
    <w:rsid w:val="00D66192"/>
    <w:rsid w:val="00DF184E"/>
    <w:rsid w:val="00DF1CF1"/>
    <w:rsid w:val="00DF5F97"/>
    <w:rsid w:val="00E607DB"/>
    <w:rsid w:val="00F66609"/>
    <w:rsid w:val="00F71F26"/>
    <w:rsid w:val="00FD4BA1"/>
    <w:rsid w:val="00FF02BE"/>
    <w:rsid w:val="00FF513E"/>
  </w:rsids>
  <m:mathPr>
    <m:mathFont m:val="Cambria Math"/>
    <m:brkBin m:val="before"/>
    <m:brkBinSub m:val="--"/>
    <m:smallFrac m:val="0"/>
    <m:dispDef/>
    <m:lMargin m:val="0"/>
    <m:rMargin m:val="0"/>
    <m:defJc m:val="centerGroup"/>
    <m:wrapIndent m:val="1440"/>
    <m:intLim m:val="subSup"/>
    <m:naryLim m:val="undOvr"/>
  </m:mathPr>
  <w:themeFontLang w:val="fr-B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1A88"/>
  <w15:chartTrackingRefBased/>
  <w15:docId w15:val="{88C14450-4220-4BBB-942A-A39FC259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fr-BF"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E6B"/>
    <w:pPr>
      <w:spacing w:line="259" w:lineRule="auto"/>
    </w:pPr>
    <w:rPr>
      <w:rFonts w:ascii="Times New Roman" w:hAnsi="Times New Roman" w:cs="Calibri"/>
      <w:color w:val="000000"/>
      <w:lang w:eastAsia="fr-BF"/>
    </w:rPr>
  </w:style>
  <w:style w:type="paragraph" w:styleId="Titre1">
    <w:name w:val="heading 1"/>
    <w:basedOn w:val="Normal"/>
    <w:next w:val="Normal"/>
    <w:link w:val="Titre1Car"/>
    <w:autoRedefine/>
    <w:qFormat/>
    <w:rsid w:val="000B7590"/>
    <w:pPr>
      <w:keepNext/>
      <w:keepLines/>
      <w:numPr>
        <w:numId w:val="8"/>
      </w:numPr>
      <w:tabs>
        <w:tab w:val="clear" w:pos="2138"/>
        <w:tab w:val="num" w:pos="720"/>
      </w:tabs>
      <w:spacing w:before="360" w:after="80" w:line="240" w:lineRule="auto"/>
      <w:ind w:left="720" w:hanging="360"/>
      <w:outlineLvl w:val="0"/>
    </w:pPr>
    <w:rPr>
      <w:rFonts w:eastAsiaTheme="majorEastAsia" w:cstheme="majorBidi"/>
      <w:color w:val="124F1A" w:themeColor="accent3" w:themeShade="BF"/>
      <w:kern w:val="0"/>
      <w:sz w:val="32"/>
      <w:szCs w:val="40"/>
      <w:lang w:val="en-GB" w:eastAsia="en-US"/>
      <w14:ligatures w14:val="none"/>
    </w:rPr>
  </w:style>
  <w:style w:type="paragraph" w:styleId="Titre2">
    <w:name w:val="heading 2"/>
    <w:basedOn w:val="Normal"/>
    <w:next w:val="Normal"/>
    <w:link w:val="Titre2Car"/>
    <w:uiPriority w:val="9"/>
    <w:unhideWhenUsed/>
    <w:qFormat/>
    <w:rsid w:val="00496CEA"/>
    <w:pPr>
      <w:keepNext/>
      <w:keepLines/>
      <w:spacing w:before="160" w:after="80" w:line="240" w:lineRule="auto"/>
      <w:outlineLvl w:val="1"/>
    </w:pPr>
    <w:rPr>
      <w:rFonts w:eastAsiaTheme="majorEastAsia" w:cstheme="majorBidi"/>
      <w:color w:val="124F1A" w:themeColor="accent3" w:themeShade="BF"/>
      <w:kern w:val="0"/>
      <w:sz w:val="28"/>
      <w:szCs w:val="32"/>
      <w:lang w:val="en-GB" w:eastAsia="en-US"/>
      <w14:ligatures w14:val="none"/>
    </w:rPr>
  </w:style>
  <w:style w:type="paragraph" w:styleId="Titre3">
    <w:name w:val="heading 3"/>
    <w:basedOn w:val="Normal"/>
    <w:next w:val="Normal"/>
    <w:link w:val="Titre3Car"/>
    <w:uiPriority w:val="9"/>
    <w:semiHidden/>
    <w:unhideWhenUsed/>
    <w:qFormat/>
    <w:rsid w:val="000B75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B75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0B7590"/>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0B75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B7590"/>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B7590"/>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B7590"/>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B7590"/>
    <w:rPr>
      <w:rFonts w:ascii="Times New Roman" w:eastAsiaTheme="majorEastAsia" w:hAnsi="Times New Roman" w:cstheme="majorBidi"/>
      <w:color w:val="124F1A" w:themeColor="accent3" w:themeShade="BF"/>
      <w:kern w:val="0"/>
      <w:sz w:val="32"/>
      <w:szCs w:val="40"/>
      <w:lang w:val="en-GB"/>
      <w14:ligatures w14:val="none"/>
    </w:rPr>
  </w:style>
  <w:style w:type="paragraph" w:styleId="Titre">
    <w:name w:val="Title"/>
    <w:basedOn w:val="Normal"/>
    <w:next w:val="Normal"/>
    <w:link w:val="TitreCar"/>
    <w:autoRedefine/>
    <w:uiPriority w:val="10"/>
    <w:qFormat/>
    <w:rsid w:val="00B74DD5"/>
    <w:pPr>
      <w:spacing w:after="80" w:line="240" w:lineRule="auto"/>
      <w:contextualSpacing/>
      <w:jc w:val="center"/>
    </w:pPr>
    <w:rPr>
      <w:rFonts w:asciiTheme="majorHAnsi" w:eastAsiaTheme="majorEastAsia" w:hAnsiTheme="majorHAnsi" w:cstheme="majorBidi"/>
      <w:b/>
      <w:bCs/>
      <w:color w:val="124F1A" w:themeColor="accent3" w:themeShade="BF"/>
      <w:spacing w:val="-10"/>
      <w:kern w:val="28"/>
      <w:sz w:val="40"/>
      <w:szCs w:val="56"/>
      <w:u w:val="single"/>
      <w:lang w:val="en-IE"/>
      <w14:ligatures w14:val="none"/>
    </w:rPr>
  </w:style>
  <w:style w:type="character" w:customStyle="1" w:styleId="TitreCar">
    <w:name w:val="Titre Car"/>
    <w:basedOn w:val="Policepardfaut"/>
    <w:link w:val="Titre"/>
    <w:uiPriority w:val="10"/>
    <w:rsid w:val="00B74DD5"/>
    <w:rPr>
      <w:rFonts w:asciiTheme="majorHAnsi" w:eastAsiaTheme="majorEastAsia" w:hAnsiTheme="majorHAnsi" w:cstheme="majorBidi"/>
      <w:b/>
      <w:bCs/>
      <w:color w:val="124F1A" w:themeColor="accent3" w:themeShade="BF"/>
      <w:spacing w:val="-10"/>
      <w:kern w:val="28"/>
      <w:sz w:val="40"/>
      <w:szCs w:val="56"/>
      <w:u w:val="single"/>
      <w:lang w:val="en-IE" w:eastAsia="fr-BF"/>
      <w14:ligatures w14:val="none"/>
    </w:rPr>
  </w:style>
  <w:style w:type="character" w:styleId="Accentuationintense">
    <w:name w:val="Intense Emphasis"/>
    <w:basedOn w:val="Policepardfaut"/>
    <w:uiPriority w:val="21"/>
    <w:qFormat/>
    <w:rsid w:val="00B01354"/>
    <w:rPr>
      <w:i/>
      <w:iCs/>
      <w:color w:val="3A7C22" w:themeColor="accent6" w:themeShade="BF"/>
    </w:rPr>
  </w:style>
  <w:style w:type="character" w:customStyle="1" w:styleId="Titre2Car">
    <w:name w:val="Titre 2 Car"/>
    <w:basedOn w:val="Policepardfaut"/>
    <w:link w:val="Titre2"/>
    <w:uiPriority w:val="9"/>
    <w:rsid w:val="00496CEA"/>
    <w:rPr>
      <w:rFonts w:ascii="Times New Roman" w:eastAsiaTheme="majorEastAsia" w:hAnsi="Times New Roman" w:cstheme="majorBidi"/>
      <w:color w:val="124F1A" w:themeColor="accent3" w:themeShade="BF"/>
      <w:kern w:val="0"/>
      <w:sz w:val="28"/>
      <w:szCs w:val="32"/>
      <w:lang w:val="en-GB"/>
      <w14:ligatures w14:val="none"/>
    </w:rPr>
  </w:style>
  <w:style w:type="character" w:customStyle="1" w:styleId="Titre3Car">
    <w:name w:val="Titre 3 Car"/>
    <w:basedOn w:val="Policepardfaut"/>
    <w:link w:val="Titre3"/>
    <w:uiPriority w:val="9"/>
    <w:semiHidden/>
    <w:rsid w:val="000B7590"/>
    <w:rPr>
      <w:rFonts w:eastAsiaTheme="majorEastAsia" w:cstheme="majorBidi"/>
      <w:color w:val="0F4761" w:themeColor="accent1" w:themeShade="BF"/>
      <w:sz w:val="28"/>
      <w:szCs w:val="28"/>
      <w:lang w:eastAsia="fr-BF"/>
    </w:rPr>
  </w:style>
  <w:style w:type="character" w:customStyle="1" w:styleId="Titre4Car">
    <w:name w:val="Titre 4 Car"/>
    <w:basedOn w:val="Policepardfaut"/>
    <w:link w:val="Titre4"/>
    <w:uiPriority w:val="9"/>
    <w:semiHidden/>
    <w:rsid w:val="000B7590"/>
    <w:rPr>
      <w:rFonts w:eastAsiaTheme="majorEastAsia" w:cstheme="majorBidi"/>
      <w:i/>
      <w:iCs/>
      <w:color w:val="0F4761" w:themeColor="accent1" w:themeShade="BF"/>
      <w:lang w:eastAsia="fr-BF"/>
    </w:rPr>
  </w:style>
  <w:style w:type="character" w:customStyle="1" w:styleId="Titre5Car">
    <w:name w:val="Titre 5 Car"/>
    <w:basedOn w:val="Policepardfaut"/>
    <w:link w:val="Titre5"/>
    <w:uiPriority w:val="9"/>
    <w:semiHidden/>
    <w:rsid w:val="000B7590"/>
    <w:rPr>
      <w:rFonts w:eastAsiaTheme="majorEastAsia" w:cstheme="majorBidi"/>
      <w:color w:val="0F4761" w:themeColor="accent1" w:themeShade="BF"/>
      <w:lang w:eastAsia="fr-BF"/>
    </w:rPr>
  </w:style>
  <w:style w:type="character" w:customStyle="1" w:styleId="Titre6Car">
    <w:name w:val="Titre 6 Car"/>
    <w:basedOn w:val="Policepardfaut"/>
    <w:link w:val="Titre6"/>
    <w:uiPriority w:val="9"/>
    <w:semiHidden/>
    <w:rsid w:val="000B7590"/>
    <w:rPr>
      <w:rFonts w:eastAsiaTheme="majorEastAsia" w:cstheme="majorBidi"/>
      <w:i/>
      <w:iCs/>
      <w:color w:val="595959" w:themeColor="text1" w:themeTint="A6"/>
      <w:lang w:eastAsia="fr-BF"/>
    </w:rPr>
  </w:style>
  <w:style w:type="character" w:customStyle="1" w:styleId="Titre7Car">
    <w:name w:val="Titre 7 Car"/>
    <w:basedOn w:val="Policepardfaut"/>
    <w:link w:val="Titre7"/>
    <w:uiPriority w:val="9"/>
    <w:semiHidden/>
    <w:rsid w:val="000B7590"/>
    <w:rPr>
      <w:rFonts w:eastAsiaTheme="majorEastAsia" w:cstheme="majorBidi"/>
      <w:color w:val="595959" w:themeColor="text1" w:themeTint="A6"/>
      <w:lang w:eastAsia="fr-BF"/>
    </w:rPr>
  </w:style>
  <w:style w:type="character" w:customStyle="1" w:styleId="Titre8Car">
    <w:name w:val="Titre 8 Car"/>
    <w:basedOn w:val="Policepardfaut"/>
    <w:link w:val="Titre8"/>
    <w:uiPriority w:val="9"/>
    <w:semiHidden/>
    <w:rsid w:val="000B7590"/>
    <w:rPr>
      <w:rFonts w:eastAsiaTheme="majorEastAsia" w:cstheme="majorBidi"/>
      <w:i/>
      <w:iCs/>
      <w:color w:val="272727" w:themeColor="text1" w:themeTint="D8"/>
      <w:lang w:eastAsia="fr-BF"/>
    </w:rPr>
  </w:style>
  <w:style w:type="character" w:customStyle="1" w:styleId="Titre9Car">
    <w:name w:val="Titre 9 Car"/>
    <w:basedOn w:val="Policepardfaut"/>
    <w:link w:val="Titre9"/>
    <w:uiPriority w:val="9"/>
    <w:semiHidden/>
    <w:rsid w:val="000B7590"/>
    <w:rPr>
      <w:rFonts w:eastAsiaTheme="majorEastAsia" w:cstheme="majorBidi"/>
      <w:color w:val="272727" w:themeColor="text1" w:themeTint="D8"/>
      <w:lang w:eastAsia="fr-BF"/>
    </w:rPr>
  </w:style>
  <w:style w:type="paragraph" w:styleId="Sous-titre">
    <w:name w:val="Subtitle"/>
    <w:basedOn w:val="Normal"/>
    <w:next w:val="Normal"/>
    <w:link w:val="Sous-titreCar"/>
    <w:uiPriority w:val="11"/>
    <w:qFormat/>
    <w:rsid w:val="000B75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B7590"/>
    <w:rPr>
      <w:rFonts w:eastAsiaTheme="majorEastAsia" w:cstheme="majorBidi"/>
      <w:color w:val="595959" w:themeColor="text1" w:themeTint="A6"/>
      <w:spacing w:val="15"/>
      <w:sz w:val="28"/>
      <w:szCs w:val="28"/>
      <w:lang w:eastAsia="fr-BF"/>
    </w:rPr>
  </w:style>
  <w:style w:type="paragraph" w:styleId="Citation">
    <w:name w:val="Quote"/>
    <w:basedOn w:val="Normal"/>
    <w:next w:val="Normal"/>
    <w:link w:val="CitationCar"/>
    <w:uiPriority w:val="29"/>
    <w:qFormat/>
    <w:rsid w:val="000B7590"/>
    <w:pPr>
      <w:spacing w:before="160"/>
      <w:jc w:val="center"/>
    </w:pPr>
    <w:rPr>
      <w:i/>
      <w:iCs/>
      <w:color w:val="404040" w:themeColor="text1" w:themeTint="BF"/>
    </w:rPr>
  </w:style>
  <w:style w:type="character" w:customStyle="1" w:styleId="CitationCar">
    <w:name w:val="Citation Car"/>
    <w:basedOn w:val="Policepardfaut"/>
    <w:link w:val="Citation"/>
    <w:uiPriority w:val="29"/>
    <w:rsid w:val="000B7590"/>
    <w:rPr>
      <w:rFonts w:ascii="Times New Roman" w:hAnsi="Times New Roman" w:cs="Calibri"/>
      <w:i/>
      <w:iCs/>
      <w:color w:val="404040" w:themeColor="text1" w:themeTint="BF"/>
      <w:lang w:eastAsia="fr-BF"/>
    </w:rPr>
  </w:style>
  <w:style w:type="paragraph" w:styleId="Paragraphedeliste">
    <w:name w:val="List Paragraph"/>
    <w:basedOn w:val="Normal"/>
    <w:uiPriority w:val="34"/>
    <w:qFormat/>
    <w:rsid w:val="000B7590"/>
    <w:pPr>
      <w:ind w:left="720"/>
      <w:contextualSpacing/>
    </w:pPr>
  </w:style>
  <w:style w:type="paragraph" w:styleId="Citationintense">
    <w:name w:val="Intense Quote"/>
    <w:basedOn w:val="Normal"/>
    <w:next w:val="Normal"/>
    <w:link w:val="CitationintenseCar"/>
    <w:uiPriority w:val="30"/>
    <w:qFormat/>
    <w:rsid w:val="000B7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B7590"/>
    <w:rPr>
      <w:rFonts w:ascii="Times New Roman" w:hAnsi="Times New Roman" w:cs="Calibri"/>
      <w:i/>
      <w:iCs/>
      <w:color w:val="0F4761" w:themeColor="accent1" w:themeShade="BF"/>
      <w:lang w:eastAsia="fr-BF"/>
    </w:rPr>
  </w:style>
  <w:style w:type="character" w:styleId="Rfrenceintense">
    <w:name w:val="Intense Reference"/>
    <w:basedOn w:val="Policepardfaut"/>
    <w:uiPriority w:val="32"/>
    <w:qFormat/>
    <w:rsid w:val="000B7590"/>
    <w:rPr>
      <w:b/>
      <w:bCs/>
      <w:smallCaps/>
      <w:color w:val="0F4761" w:themeColor="accent1" w:themeShade="BF"/>
      <w:spacing w:val="5"/>
    </w:rPr>
  </w:style>
  <w:style w:type="table" w:styleId="Grilledutableau">
    <w:name w:val="Table Grid"/>
    <w:basedOn w:val="TableauNormal"/>
    <w:uiPriority w:val="39"/>
    <w:rsid w:val="000B7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0B7590"/>
    <w:rPr>
      <w:b/>
      <w:bCs/>
    </w:rPr>
  </w:style>
  <w:style w:type="character" w:customStyle="1" w:styleId="Listecouleur-Accent1Car">
    <w:name w:val="Liste couleur - Accent 1 Car"/>
    <w:link w:val="Listecouleur-Accent1"/>
    <w:uiPriority w:val="99"/>
    <w:locked/>
    <w:rsid w:val="000B7590"/>
    <w:rPr>
      <w:rFonts w:ascii="Calibri" w:eastAsia="Calibri" w:hAnsi="Calibri" w:cs="Times New Roman"/>
    </w:rPr>
  </w:style>
  <w:style w:type="table" w:styleId="Listecouleur-Accent1">
    <w:name w:val="Colorful List Accent 1"/>
    <w:basedOn w:val="TableauNormal"/>
    <w:link w:val="Listecouleur-Accent1Car"/>
    <w:uiPriority w:val="99"/>
    <w:semiHidden/>
    <w:unhideWhenUsed/>
    <w:rsid w:val="000B7590"/>
    <w:pPr>
      <w:spacing w:after="0" w:line="240" w:lineRule="auto"/>
    </w:pPr>
    <w:rPr>
      <w:rFonts w:ascii="Calibri" w:hAnsi="Calibri" w:cs="Times New Roman"/>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character" w:styleId="Lienhypertexte">
    <w:name w:val="Hyperlink"/>
    <w:basedOn w:val="Policepardfaut"/>
    <w:uiPriority w:val="99"/>
    <w:unhideWhenUsed/>
    <w:rsid w:val="003D48C9"/>
    <w:rPr>
      <w:color w:val="467886" w:themeColor="hyperlink"/>
      <w:u w:val="single"/>
    </w:rPr>
  </w:style>
  <w:style w:type="character" w:styleId="Mentionnonrsolue">
    <w:name w:val="Unresolved Mention"/>
    <w:basedOn w:val="Policepardfaut"/>
    <w:uiPriority w:val="99"/>
    <w:semiHidden/>
    <w:unhideWhenUsed/>
    <w:rsid w:val="003D48C9"/>
    <w:rPr>
      <w:color w:val="605E5C"/>
      <w:shd w:val="clear" w:color="auto" w:fill="E1DFDD"/>
    </w:rPr>
  </w:style>
  <w:style w:type="paragraph" w:styleId="En-tte">
    <w:name w:val="header"/>
    <w:basedOn w:val="Normal"/>
    <w:link w:val="En-tteCar"/>
    <w:uiPriority w:val="99"/>
    <w:unhideWhenUsed/>
    <w:rsid w:val="0044366C"/>
    <w:pPr>
      <w:tabs>
        <w:tab w:val="center" w:pos="4536"/>
        <w:tab w:val="right" w:pos="9072"/>
      </w:tabs>
      <w:spacing w:after="0" w:line="240" w:lineRule="auto"/>
    </w:pPr>
  </w:style>
  <w:style w:type="character" w:customStyle="1" w:styleId="En-tteCar">
    <w:name w:val="En-tête Car"/>
    <w:basedOn w:val="Policepardfaut"/>
    <w:link w:val="En-tte"/>
    <w:uiPriority w:val="99"/>
    <w:rsid w:val="0044366C"/>
    <w:rPr>
      <w:rFonts w:ascii="Times New Roman" w:hAnsi="Times New Roman" w:cs="Calibri"/>
      <w:color w:val="000000"/>
      <w:lang w:eastAsia="fr-BF"/>
    </w:rPr>
  </w:style>
  <w:style w:type="paragraph" w:styleId="Pieddepage">
    <w:name w:val="footer"/>
    <w:basedOn w:val="Normal"/>
    <w:link w:val="PieddepageCar"/>
    <w:uiPriority w:val="99"/>
    <w:unhideWhenUsed/>
    <w:rsid w:val="004436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66C"/>
    <w:rPr>
      <w:rFonts w:ascii="Times New Roman" w:hAnsi="Times New Roman" w:cs="Calibri"/>
      <w:color w:val="000000"/>
      <w:lang w:eastAsia="fr-BF"/>
    </w:rPr>
  </w:style>
  <w:style w:type="character" w:styleId="Marquedecommentaire">
    <w:name w:val="annotation reference"/>
    <w:basedOn w:val="Policepardfaut"/>
    <w:uiPriority w:val="99"/>
    <w:semiHidden/>
    <w:unhideWhenUsed/>
    <w:rsid w:val="00581650"/>
    <w:rPr>
      <w:sz w:val="16"/>
      <w:szCs w:val="16"/>
    </w:rPr>
  </w:style>
  <w:style w:type="paragraph" w:styleId="Commentaire">
    <w:name w:val="annotation text"/>
    <w:basedOn w:val="Normal"/>
    <w:link w:val="CommentaireCar"/>
    <w:uiPriority w:val="99"/>
    <w:unhideWhenUsed/>
    <w:rsid w:val="00581650"/>
    <w:pPr>
      <w:spacing w:line="240" w:lineRule="auto"/>
    </w:pPr>
    <w:rPr>
      <w:sz w:val="20"/>
      <w:szCs w:val="20"/>
    </w:rPr>
  </w:style>
  <w:style w:type="character" w:customStyle="1" w:styleId="CommentaireCar">
    <w:name w:val="Commentaire Car"/>
    <w:basedOn w:val="Policepardfaut"/>
    <w:link w:val="Commentaire"/>
    <w:uiPriority w:val="99"/>
    <w:rsid w:val="00581650"/>
    <w:rPr>
      <w:rFonts w:ascii="Times New Roman" w:hAnsi="Times New Roman" w:cs="Calibri"/>
      <w:color w:val="000000"/>
      <w:sz w:val="20"/>
      <w:szCs w:val="20"/>
      <w:lang w:eastAsia="fr-BF"/>
    </w:rPr>
  </w:style>
  <w:style w:type="paragraph" w:styleId="Objetducommentaire">
    <w:name w:val="annotation subject"/>
    <w:basedOn w:val="Commentaire"/>
    <w:next w:val="Commentaire"/>
    <w:link w:val="ObjetducommentaireCar"/>
    <w:uiPriority w:val="99"/>
    <w:semiHidden/>
    <w:unhideWhenUsed/>
    <w:rsid w:val="00581650"/>
    <w:rPr>
      <w:b/>
      <w:bCs/>
    </w:rPr>
  </w:style>
  <w:style w:type="character" w:customStyle="1" w:styleId="ObjetducommentaireCar">
    <w:name w:val="Objet du commentaire Car"/>
    <w:basedOn w:val="CommentaireCar"/>
    <w:link w:val="Objetducommentaire"/>
    <w:uiPriority w:val="99"/>
    <w:semiHidden/>
    <w:rsid w:val="00581650"/>
    <w:rPr>
      <w:rFonts w:ascii="Times New Roman" w:hAnsi="Times New Roman" w:cs="Calibri"/>
      <w:b/>
      <w:bCs/>
      <w:color w:val="000000"/>
      <w:sz w:val="20"/>
      <w:szCs w:val="20"/>
      <w:lang w:eastAsia="fr-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lariaconsortium.org/tend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enders@malariaconsortium.org" TargetMode="External"/><Relationship Id="rId4" Type="http://schemas.openxmlformats.org/officeDocument/2006/relationships/settings" Target="settings.xml"/><Relationship Id="rId9" Type="http://schemas.openxmlformats.org/officeDocument/2006/relationships/hyperlink" Target="mailto:tenders@malariaconsortium.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E22EA-2250-4BC8-B415-411303B41835}">
  <ds:schemaRefs>
    <ds:schemaRef ds:uri="http://schemas.openxmlformats.org/officeDocument/2006/bibliography"/>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2141</Words>
  <Characters>12033</Characters>
  <Application>Microsoft Office Word</Application>
  <DocSecurity>0</DocSecurity>
  <Lines>267</Lines>
  <Paragraphs>161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Aimé Parfait Korou YARO</dc:creator>
  <cp:keywords/>
  <dc:description/>
  <cp:lastModifiedBy>Bénédicte Soubeiga Zabre</cp:lastModifiedBy>
  <cp:revision>2</cp:revision>
  <dcterms:created xsi:type="dcterms:W3CDTF">2026-09-14T10:43:00Z</dcterms:created>
  <dcterms:modified xsi:type="dcterms:W3CDTF">2026-09-14T10:43:00Z</dcterms:modified>
</cp:coreProperties>
</file>